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E906FA" w:rsidP="00CF1133">
      <w:pPr>
        <w:ind w:left="-710" w:firstLine="695"/>
        <w:rPr>
          <w:b/>
          <w:bCs/>
        </w:rPr>
      </w:pPr>
      <w:bookmarkStart w:id="0" w:name="_GoBack"/>
      <w:bookmarkEnd w:id="0"/>
    </w:p>
    <w:p w:rsidR="001F165B" w:rsidRDefault="00325DBD" w:rsidP="001F165B">
      <w:pPr>
        <w:ind w:left="-710" w:firstLine="695"/>
        <w:rPr>
          <w:b/>
          <w:bCs/>
        </w:rPr>
      </w:pPr>
      <w:r>
        <w:rPr>
          <w:b/>
          <w:bCs/>
        </w:rPr>
        <w:t>LEP – Sub Committee</w:t>
      </w:r>
    </w:p>
    <w:p w:rsidR="001F165B" w:rsidRDefault="00E906FA" w:rsidP="001F165B">
      <w:pPr>
        <w:ind w:left="-710" w:firstLine="695"/>
        <w:rPr>
          <w:b/>
          <w:bCs/>
        </w:rPr>
      </w:pPr>
    </w:p>
    <w:p w:rsidR="001F165B" w:rsidRDefault="00325DBD" w:rsidP="001F165B">
      <w:pPr>
        <w:rPr>
          <w:rFonts w:eastAsia="Times New Roman" w:cs="Times New Roman"/>
          <w:b/>
          <w:color w:val="auto"/>
          <w:szCs w:val="20"/>
        </w:rPr>
      </w:pPr>
      <w:r>
        <w:rPr>
          <w:b/>
        </w:rPr>
        <w:t>Growth Deal Management Board</w:t>
      </w:r>
    </w:p>
    <w:p w:rsidR="001F165B" w:rsidRPr="00BC4466" w:rsidRDefault="00E906FA" w:rsidP="001F165B">
      <w:pPr>
        <w:spacing w:after="0" w:line="256" w:lineRule="auto"/>
        <w:ind w:left="0" w:firstLine="0"/>
        <w:rPr>
          <w:b/>
          <w:bCs/>
        </w:rPr>
      </w:pPr>
    </w:p>
    <w:p w:rsidR="001F165B" w:rsidRPr="00BC4466" w:rsidRDefault="00325DBD" w:rsidP="001F165B">
      <w:pPr>
        <w:spacing w:after="0" w:line="256" w:lineRule="auto"/>
        <w:ind w:left="0" w:firstLine="0"/>
        <w:rPr>
          <w:b/>
          <w:bCs/>
        </w:rPr>
      </w:pPr>
      <w:r w:rsidRPr="00BC4466">
        <w:rPr>
          <w:b/>
        </w:rPr>
        <w:t xml:space="preserve">Private and Confidential: </w:t>
      </w:r>
      <w:r>
        <w:rPr>
          <w:b/>
        </w:rPr>
        <w:t>No</w:t>
      </w:r>
    </w:p>
    <w:p w:rsidR="001F165B" w:rsidRDefault="00E906FA" w:rsidP="001F165B">
      <w:pPr>
        <w:spacing w:after="0" w:line="256" w:lineRule="auto"/>
        <w:ind w:left="0" w:firstLine="0"/>
      </w:pPr>
    </w:p>
    <w:p w:rsidR="001F165B" w:rsidRDefault="008C51C0" w:rsidP="001F165B">
      <w:r>
        <w:rPr>
          <w:b/>
        </w:rPr>
        <w:t xml:space="preserve">Date: </w:t>
      </w:r>
      <w:r w:rsidR="00325DBD">
        <w:t>Wednesday 12</w:t>
      </w:r>
      <w:r w:rsidR="00325DBD" w:rsidRPr="00D33B71">
        <w:rPr>
          <w:vertAlign w:val="superscript"/>
        </w:rPr>
        <w:t>th</w:t>
      </w:r>
      <w:r w:rsidR="00325DBD">
        <w:t xml:space="preserve"> December 2018</w:t>
      </w:r>
    </w:p>
    <w:p w:rsidR="001F165B" w:rsidRDefault="00E906FA" w:rsidP="001F165B"/>
    <w:p w:rsidR="001F165B" w:rsidRDefault="00325DBD" w:rsidP="001F165B">
      <w:pPr>
        <w:rPr>
          <w:b/>
        </w:rPr>
      </w:pPr>
      <w:r>
        <w:rPr>
          <w:b/>
        </w:rPr>
        <w:t>Social Value Report</w:t>
      </w:r>
    </w:p>
    <w:p w:rsidR="001F165B" w:rsidRPr="0071604A" w:rsidRDefault="008C51C0" w:rsidP="001F165B">
      <w:pPr>
        <w:rPr>
          <w:rFonts w:eastAsia="Times New Roman" w:cs="Times New Roman"/>
          <w:color w:val="auto"/>
          <w:szCs w:val="20"/>
        </w:rPr>
      </w:pPr>
      <w:r>
        <w:t>(</w:t>
      </w:r>
      <w:r w:rsidR="00325DBD" w:rsidRPr="0071604A">
        <w:t xml:space="preserve">Appendix </w:t>
      </w:r>
      <w:r w:rsidR="00325DBD">
        <w:t>'</w:t>
      </w:r>
      <w:r w:rsidR="00325DBD" w:rsidRPr="0071604A">
        <w:t>A</w:t>
      </w:r>
      <w:r w:rsidR="00325DBD">
        <w:t>'</w:t>
      </w:r>
      <w:r w:rsidR="00325DBD" w:rsidRPr="0071604A">
        <w:t xml:space="preserve"> refers</w:t>
      </w:r>
      <w:r>
        <w:t>)</w:t>
      </w:r>
    </w:p>
    <w:p w:rsidR="001F165B" w:rsidRDefault="00E906FA" w:rsidP="001F165B">
      <w:pPr>
        <w:ind w:right="-873"/>
        <w:rPr>
          <w:b/>
          <w:color w:val="auto"/>
        </w:rPr>
      </w:pPr>
    </w:p>
    <w:p w:rsidR="001F165B" w:rsidRDefault="00325DBD" w:rsidP="001F165B">
      <w:pPr>
        <w:ind w:right="-873"/>
        <w:rPr>
          <w:b/>
          <w:color w:val="auto"/>
        </w:rPr>
      </w:pPr>
      <w:r w:rsidRPr="00CD057D">
        <w:rPr>
          <w:b/>
          <w:color w:val="auto"/>
        </w:rPr>
        <w:t>Report Author:</w:t>
      </w:r>
      <w:r w:rsidRPr="00540C08">
        <w:rPr>
          <w:b/>
          <w:color w:val="auto"/>
        </w:rPr>
        <w:t xml:space="preserve"> </w:t>
      </w:r>
      <w:r>
        <w:rPr>
          <w:b/>
          <w:color w:val="auto"/>
        </w:rPr>
        <w:t xml:space="preserve">Martin Hill, Skills &amp; Employment Coordinator, Lancashire Skills Hub, </w:t>
      </w:r>
    </w:p>
    <w:p w:rsidR="001F165B" w:rsidRPr="008C51C0" w:rsidRDefault="00325DBD" w:rsidP="001F165B">
      <w:pPr>
        <w:ind w:right="-873"/>
        <w:rPr>
          <w:rStyle w:val="Hyperlink"/>
          <w:color w:val="auto"/>
        </w:rPr>
      </w:pPr>
      <w:r w:rsidRPr="008C51C0">
        <w:rPr>
          <w:color w:val="auto"/>
        </w:rPr>
        <w:t>martin.hill@lancashirelep.co.uk</w:t>
      </w:r>
    </w:p>
    <w:p w:rsidR="001F165B" w:rsidRDefault="00E906FA" w:rsidP="001F165B">
      <w:pPr>
        <w:ind w:left="1982" w:right="-873" w:firstLine="0"/>
        <w:rPr>
          <w:b/>
        </w:rPr>
      </w:pPr>
    </w:p>
    <w:p w:rsidR="001F165B" w:rsidRDefault="00E906FA" w:rsidP="001F165B">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1F165B" w:rsidRDefault="00325DBD" w:rsidP="001F165B">
      <w:pPr>
        <w:pBdr>
          <w:top w:val="single" w:sz="4" w:space="1" w:color="auto"/>
          <w:left w:val="single" w:sz="4" w:space="4" w:color="auto"/>
          <w:bottom w:val="single" w:sz="4" w:space="1" w:color="auto"/>
          <w:right w:val="single" w:sz="4" w:space="4" w:color="auto"/>
        </w:pBdr>
        <w:rPr>
          <w:b/>
        </w:rPr>
      </w:pPr>
      <w:r>
        <w:rPr>
          <w:b/>
        </w:rPr>
        <w:t xml:space="preserve">Executive Summary </w:t>
      </w:r>
    </w:p>
    <w:p w:rsidR="001F165B" w:rsidRDefault="00E906FA" w:rsidP="001F165B">
      <w:pPr>
        <w:pBdr>
          <w:top w:val="single" w:sz="4" w:space="1" w:color="auto"/>
          <w:left w:val="single" w:sz="4" w:space="4" w:color="auto"/>
          <w:bottom w:val="single" w:sz="4" w:space="1" w:color="auto"/>
          <w:right w:val="single" w:sz="4" w:space="4" w:color="auto"/>
        </w:pBdr>
        <w:rPr>
          <w:b/>
        </w:rPr>
      </w:pPr>
    </w:p>
    <w:p w:rsidR="001F165B" w:rsidRDefault="00325DBD" w:rsidP="001F165B">
      <w:pPr>
        <w:pBdr>
          <w:top w:val="single" w:sz="4" w:space="1" w:color="auto"/>
          <w:left w:val="single" w:sz="4" w:space="4" w:color="auto"/>
          <w:bottom w:val="single" w:sz="4" w:space="1" w:color="auto"/>
          <w:right w:val="single" w:sz="4" w:space="4" w:color="auto"/>
        </w:pBdr>
        <w:ind w:left="0" w:firstLine="0"/>
        <w:jc w:val="both"/>
      </w:pPr>
      <w:r>
        <w:t>The purpose of this report is to provide a summary of progress made in delivering the social value metrics, since the last report to the Growth Deal Management Board in October 2017.</w:t>
      </w:r>
    </w:p>
    <w:p w:rsidR="001F165B" w:rsidRDefault="00E906FA" w:rsidP="001F165B">
      <w:pPr>
        <w:pBdr>
          <w:top w:val="single" w:sz="4" w:space="1" w:color="auto"/>
          <w:left w:val="single" w:sz="4" w:space="4" w:color="auto"/>
          <w:bottom w:val="single" w:sz="4" w:space="1" w:color="auto"/>
          <w:right w:val="single" w:sz="4" w:space="4" w:color="auto"/>
        </w:pBdr>
        <w:jc w:val="both"/>
        <w:rPr>
          <w:b/>
        </w:rPr>
      </w:pPr>
    </w:p>
    <w:p w:rsidR="001F165B" w:rsidRPr="00A3358A" w:rsidRDefault="00325DBD" w:rsidP="001F165B">
      <w:pPr>
        <w:pStyle w:val="Heading5"/>
        <w:pBdr>
          <w:top w:val="single" w:sz="4" w:space="1" w:color="auto"/>
          <w:left w:val="single" w:sz="4" w:space="4" w:color="auto"/>
          <w:bottom w:val="single" w:sz="4" w:space="1" w:color="auto"/>
          <w:right w:val="single" w:sz="4" w:space="4" w:color="auto"/>
        </w:pBdr>
        <w:jc w:val="both"/>
        <w:rPr>
          <w:rFonts w:ascii="Arial" w:hAnsi="Arial"/>
          <w:b/>
          <w:color w:val="auto"/>
        </w:rPr>
      </w:pPr>
      <w:r w:rsidRPr="00A3358A">
        <w:rPr>
          <w:rFonts w:ascii="Arial" w:hAnsi="Arial"/>
          <w:b/>
          <w:color w:val="auto"/>
        </w:rPr>
        <w:t>Recommendation</w:t>
      </w:r>
    </w:p>
    <w:p w:rsidR="001F165B" w:rsidRDefault="00E906FA" w:rsidP="001F165B">
      <w:pPr>
        <w:pBdr>
          <w:top w:val="single" w:sz="4" w:space="1" w:color="auto"/>
          <w:left w:val="single" w:sz="4" w:space="4" w:color="auto"/>
          <w:bottom w:val="single" w:sz="4" w:space="1" w:color="auto"/>
          <w:right w:val="single" w:sz="4" w:space="4" w:color="auto"/>
        </w:pBdr>
        <w:jc w:val="both"/>
      </w:pPr>
    </w:p>
    <w:p w:rsidR="001F165B" w:rsidRDefault="00325DBD" w:rsidP="001F165B">
      <w:pPr>
        <w:pBdr>
          <w:top w:val="single" w:sz="4" w:space="1" w:color="auto"/>
          <w:left w:val="single" w:sz="4" w:space="4" w:color="auto"/>
          <w:bottom w:val="single" w:sz="4" w:space="1" w:color="auto"/>
          <w:right w:val="single" w:sz="4" w:space="4" w:color="auto"/>
        </w:pBdr>
        <w:ind w:left="0" w:firstLine="0"/>
        <w:jc w:val="both"/>
      </w:pPr>
      <w:r>
        <w:t xml:space="preserve">The </w:t>
      </w:r>
      <w:r w:rsidR="008C51C0">
        <w:t>Growth Deal Management Board</w:t>
      </w:r>
      <w:r>
        <w:t xml:space="preserve"> is invited to comment on performance across the social value metrics and the attached social value dashboard. The </w:t>
      </w:r>
      <w:r w:rsidR="008C51C0">
        <w:t>Board</w:t>
      </w:r>
      <w:r>
        <w:t xml:space="preserve"> is also asked to review and support the proposal for the adoption of the National Social Value Framework Themes Outcomes and Measures</w:t>
      </w:r>
      <w:r w:rsidR="008C51C0">
        <w:t>,</w:t>
      </w:r>
      <w:r>
        <w:t xml:space="preserve"> as a standardised methodology for measuring social value across the Growth Deal programme.</w:t>
      </w:r>
    </w:p>
    <w:p w:rsidR="001F165B" w:rsidRDefault="00E906FA" w:rsidP="001F165B">
      <w:pPr>
        <w:pBdr>
          <w:top w:val="single" w:sz="4" w:space="1" w:color="auto"/>
          <w:left w:val="single" w:sz="4" w:space="4" w:color="auto"/>
          <w:bottom w:val="single" w:sz="4" w:space="1" w:color="auto"/>
          <w:right w:val="single" w:sz="4" w:space="4" w:color="auto"/>
        </w:pBdr>
      </w:pPr>
    </w:p>
    <w:p w:rsidR="001F165B" w:rsidRDefault="00E906FA" w:rsidP="001F165B">
      <w:pPr>
        <w:spacing w:after="0" w:line="256" w:lineRule="auto"/>
        <w:ind w:left="0" w:firstLine="0"/>
      </w:pPr>
    </w:p>
    <w:p w:rsidR="001F165B" w:rsidRPr="008C51C0" w:rsidRDefault="00325DBD" w:rsidP="008C51C0">
      <w:pPr>
        <w:rPr>
          <w:b/>
        </w:rPr>
      </w:pPr>
      <w:r w:rsidRPr="008C51C0">
        <w:rPr>
          <w:b/>
        </w:rPr>
        <w:t xml:space="preserve">Background and Advice </w:t>
      </w:r>
    </w:p>
    <w:p w:rsidR="001F165B" w:rsidRDefault="00E906FA" w:rsidP="001F165B">
      <w:pPr>
        <w:rPr>
          <w:b/>
        </w:rPr>
      </w:pPr>
    </w:p>
    <w:p w:rsidR="008C51C0" w:rsidRDefault="00325DBD" w:rsidP="008C51C0">
      <w:pPr>
        <w:spacing w:after="0" w:line="256" w:lineRule="auto"/>
        <w:jc w:val="both"/>
      </w:pPr>
      <w:r w:rsidRPr="00B67FEE">
        <w:t xml:space="preserve">The Growth Deal Management Board </w:t>
      </w:r>
      <w:r>
        <w:t>is committed to maximising the social v</w:t>
      </w:r>
      <w:r w:rsidR="008C51C0">
        <w:t>alue</w:t>
      </w:r>
    </w:p>
    <w:p w:rsidR="008C51C0" w:rsidRDefault="00325DBD" w:rsidP="008C51C0">
      <w:pPr>
        <w:spacing w:after="0" w:line="256" w:lineRule="auto"/>
        <w:jc w:val="both"/>
      </w:pPr>
      <w:r w:rsidRPr="00B67FEE">
        <w:t xml:space="preserve">benefits of </w:t>
      </w:r>
      <w:r>
        <w:t xml:space="preserve">the individual </w:t>
      </w:r>
      <w:r w:rsidRPr="00B67FEE">
        <w:t>projects that form part of the Growth Deal Programme, and</w:t>
      </w:r>
    </w:p>
    <w:p w:rsidR="001F165B" w:rsidRDefault="00325DBD" w:rsidP="008C51C0">
      <w:pPr>
        <w:spacing w:after="0" w:line="256" w:lineRule="auto"/>
        <w:jc w:val="both"/>
      </w:pPr>
      <w:r w:rsidRPr="00B67FEE">
        <w:t xml:space="preserve">the </w:t>
      </w:r>
      <w:r>
        <w:t xml:space="preserve">social value </w:t>
      </w:r>
      <w:r w:rsidRPr="00B67FEE">
        <w:t xml:space="preserve">benefits </w:t>
      </w:r>
      <w:r>
        <w:t>which can be delivered across the Growth Deal Programme.</w:t>
      </w:r>
    </w:p>
    <w:p w:rsidR="001F165B" w:rsidRDefault="00E906FA" w:rsidP="001F165B">
      <w:pPr>
        <w:spacing w:after="0" w:line="256" w:lineRule="auto"/>
        <w:ind w:left="0" w:firstLine="0"/>
        <w:jc w:val="both"/>
      </w:pPr>
    </w:p>
    <w:p w:rsidR="008C51C0" w:rsidRDefault="00325DBD" w:rsidP="008C51C0">
      <w:pPr>
        <w:jc w:val="both"/>
      </w:pPr>
      <w:r>
        <w:t>In order to realise the commitment, a Social Value toolkit for applicants was developed,</w:t>
      </w:r>
    </w:p>
    <w:p w:rsidR="008C51C0" w:rsidRDefault="00325DBD" w:rsidP="008C51C0">
      <w:pPr>
        <w:jc w:val="both"/>
      </w:pPr>
      <w:r>
        <w:t>articulating the LEP's expectations in relation to social value which aligns with the</w:t>
      </w:r>
    </w:p>
    <w:p w:rsidR="008C51C0" w:rsidRDefault="00325DBD" w:rsidP="008C51C0">
      <w:pPr>
        <w:jc w:val="both"/>
      </w:pPr>
      <w:r>
        <w:t>Lancashire Skills and Employment Strategic Framework and therefore the LEP's</w:t>
      </w:r>
    </w:p>
    <w:p w:rsidR="001F165B" w:rsidRDefault="00325DBD" w:rsidP="008C51C0">
      <w:pPr>
        <w:jc w:val="both"/>
      </w:pPr>
      <w:r>
        <w:t xml:space="preserve">strategic priorities with regards to the skills and employment agenda.  </w:t>
      </w:r>
    </w:p>
    <w:p w:rsidR="001F165B" w:rsidRDefault="00E906FA" w:rsidP="001F165B">
      <w:pPr>
        <w:pStyle w:val="ListParagraph"/>
      </w:pPr>
    </w:p>
    <w:p w:rsidR="008C51C0" w:rsidRDefault="00325DBD" w:rsidP="008C51C0">
      <w:pPr>
        <w:jc w:val="both"/>
      </w:pPr>
      <w:r>
        <w:t>A process for agreeing indicative outputs and monitoring activity has been embedded</w:t>
      </w:r>
    </w:p>
    <w:p w:rsidR="008C51C0" w:rsidRDefault="00325DBD" w:rsidP="008C51C0">
      <w:pPr>
        <w:jc w:val="both"/>
      </w:pPr>
      <w:r>
        <w:t>within the process for business case development, with ongoing reporting by Project</w:t>
      </w:r>
    </w:p>
    <w:p w:rsidR="001F165B" w:rsidRDefault="00325DBD" w:rsidP="008C51C0">
      <w:pPr>
        <w:jc w:val="both"/>
      </w:pPr>
      <w:r>
        <w:t xml:space="preserve">Sponsors against outputs on a bi-annual basis.   </w:t>
      </w:r>
    </w:p>
    <w:p w:rsidR="001F165B" w:rsidRDefault="00E906FA" w:rsidP="001F165B">
      <w:pPr>
        <w:pStyle w:val="ListParagraph"/>
      </w:pPr>
    </w:p>
    <w:p w:rsidR="001F165B" w:rsidRPr="00873D56" w:rsidRDefault="00E906FA" w:rsidP="001F165B">
      <w:pPr>
        <w:pStyle w:val="ListParagraph"/>
        <w:rPr>
          <w:b/>
          <w:color w:val="auto"/>
        </w:rPr>
      </w:pPr>
    </w:p>
    <w:p w:rsidR="001F165B" w:rsidRPr="008C51C0" w:rsidRDefault="00325DBD" w:rsidP="008C51C0">
      <w:pPr>
        <w:jc w:val="both"/>
        <w:rPr>
          <w:b/>
          <w:color w:val="auto"/>
        </w:rPr>
      </w:pPr>
      <w:r w:rsidRPr="008C51C0">
        <w:rPr>
          <w:b/>
          <w:color w:val="auto"/>
        </w:rPr>
        <w:lastRenderedPageBreak/>
        <w:t>Social Value Metrics / Reporting – Update</w:t>
      </w:r>
    </w:p>
    <w:p w:rsidR="001F165B" w:rsidRDefault="00E906FA" w:rsidP="001F165B">
      <w:pPr>
        <w:jc w:val="both"/>
        <w:rPr>
          <w:b/>
          <w:color w:val="auto"/>
        </w:rPr>
      </w:pPr>
    </w:p>
    <w:p w:rsidR="001F165B" w:rsidRDefault="00325DBD" w:rsidP="008C51C0">
      <w:pPr>
        <w:pStyle w:val="NoSpacing"/>
        <w:jc w:val="both"/>
      </w:pPr>
      <w:r>
        <w:t>The dashboard attached at Appendix 'A' has been developed to highlight key metrics and cumulative performance to date.  It is intended that the metrics be updated on a regular basis and be used to publicise the integration of social value in the Lancashire Growth Deal programme through various channels e.g. website and social media.  The committee is asked to comment on the updated dashboard.</w:t>
      </w:r>
    </w:p>
    <w:p w:rsidR="001F165B" w:rsidRDefault="00E906FA" w:rsidP="001F165B">
      <w:pPr>
        <w:pStyle w:val="NoSpacing"/>
        <w:ind w:left="624"/>
        <w:jc w:val="both"/>
      </w:pPr>
    </w:p>
    <w:p w:rsidR="001F165B" w:rsidRDefault="00325DBD" w:rsidP="008C51C0">
      <w:pPr>
        <w:pStyle w:val="NoSpacing"/>
        <w:jc w:val="both"/>
      </w:pPr>
      <w:r>
        <w:t xml:space="preserve">The Skills and Employment Hub is currently in the process of reviewing the social value metrics currently in place across LEP projects with a view to aligning them with the National Framework; The National Themes Outcomes and Measures. The Themes Outcomes and Measures have been developed by the Social Value Taskforce in collaboration with the Local Government Association National Advisory Group and represents a major breakthrough in establishing a simple, intelligible methodology and reporting standard for social value. </w:t>
      </w:r>
    </w:p>
    <w:p w:rsidR="001F165B" w:rsidRDefault="00E906FA" w:rsidP="001F165B">
      <w:pPr>
        <w:pStyle w:val="ListParagraph"/>
      </w:pPr>
    </w:p>
    <w:p w:rsidR="001F165B" w:rsidRDefault="00325DBD" w:rsidP="00325DBD">
      <w:pPr>
        <w:pStyle w:val="NoSpacing"/>
        <w:jc w:val="both"/>
      </w:pPr>
      <w:r>
        <w:t>The aim of the National Themes Outcomes and Measures Framework is to provide a minimum reporting standard for measuring social value for those organisations (private and public) commencing on their journey to embed social value into their procurement and management processes.</w:t>
      </w:r>
    </w:p>
    <w:p w:rsidR="001F165B" w:rsidRDefault="00E906FA" w:rsidP="001F165B">
      <w:pPr>
        <w:pStyle w:val="ListParagraph"/>
      </w:pPr>
    </w:p>
    <w:p w:rsidR="001F165B" w:rsidRDefault="00325DBD" w:rsidP="00325DBD">
      <w:pPr>
        <w:pStyle w:val="NoSpacing"/>
        <w:jc w:val="both"/>
      </w:pPr>
      <w:r>
        <w:t>The principal benefits of a minimum and consistent reporting standard for social value is that it:</w:t>
      </w:r>
    </w:p>
    <w:p w:rsidR="001F165B" w:rsidRDefault="00E906FA" w:rsidP="001F165B">
      <w:pPr>
        <w:pStyle w:val="ListParagraph"/>
      </w:pPr>
    </w:p>
    <w:p w:rsidR="001F165B" w:rsidRDefault="00325DBD" w:rsidP="001F165B">
      <w:pPr>
        <w:pStyle w:val="NoSpacing"/>
        <w:numPr>
          <w:ilvl w:val="0"/>
          <w:numId w:val="6"/>
        </w:numPr>
        <w:jc w:val="both"/>
      </w:pPr>
      <w:r>
        <w:t>Provides a consistent approach to measuring and reporting social value;</w:t>
      </w:r>
    </w:p>
    <w:p w:rsidR="001F165B" w:rsidRDefault="00325DBD" w:rsidP="001F165B">
      <w:pPr>
        <w:pStyle w:val="NoSpacing"/>
        <w:numPr>
          <w:ilvl w:val="0"/>
          <w:numId w:val="6"/>
        </w:numPr>
        <w:jc w:val="both"/>
      </w:pPr>
      <w:r>
        <w:t>Allows for continuous improvement;</w:t>
      </w:r>
    </w:p>
    <w:p w:rsidR="001F165B" w:rsidRDefault="00325DBD" w:rsidP="001F165B">
      <w:pPr>
        <w:pStyle w:val="NoSpacing"/>
        <w:numPr>
          <w:ilvl w:val="0"/>
          <w:numId w:val="6"/>
        </w:numPr>
        <w:jc w:val="both"/>
      </w:pPr>
      <w:r>
        <w:t xml:space="preserve">Provides a robust, transparent and defensible solution for assessing and awarding tenders; </w:t>
      </w:r>
    </w:p>
    <w:p w:rsidR="001F165B" w:rsidRDefault="00325DBD" w:rsidP="001F165B">
      <w:pPr>
        <w:pStyle w:val="NoSpacing"/>
        <w:numPr>
          <w:ilvl w:val="0"/>
          <w:numId w:val="6"/>
        </w:numPr>
        <w:jc w:val="both"/>
      </w:pPr>
      <w:r>
        <w:t>Allows organisations to compare their own performance by sector and industry benchmarks and understand what good looks like; and</w:t>
      </w:r>
    </w:p>
    <w:p w:rsidR="001F165B" w:rsidRDefault="00325DBD" w:rsidP="001F165B">
      <w:pPr>
        <w:pStyle w:val="NoSpacing"/>
        <w:numPr>
          <w:ilvl w:val="0"/>
          <w:numId w:val="6"/>
        </w:numPr>
        <w:jc w:val="both"/>
      </w:pPr>
      <w:r>
        <w:t>Reduces the uncertainty surrounding social value measurement for businesses, allowing them to make informed decisions based on robust quantitative assessments and hence embed social value into their corporate strategies.</w:t>
      </w:r>
    </w:p>
    <w:p w:rsidR="001F165B" w:rsidRDefault="00E906FA" w:rsidP="001F165B">
      <w:pPr>
        <w:pStyle w:val="NoSpacing"/>
        <w:jc w:val="both"/>
      </w:pPr>
    </w:p>
    <w:p w:rsidR="001F165B" w:rsidRDefault="00325DBD" w:rsidP="001F165B">
      <w:pPr>
        <w:pStyle w:val="NoSpacing"/>
        <w:jc w:val="both"/>
      </w:pPr>
      <w:r>
        <w:t xml:space="preserve">The Themes Outcomes and Measures utilises Government's Green Book unit values to ascribe a financial value to profiled and actual outputs to inform procurement at tender stage and provide an ongoing performance management and reporting framework. </w:t>
      </w:r>
    </w:p>
    <w:p w:rsidR="001F165B" w:rsidRDefault="00E906FA" w:rsidP="001F165B">
      <w:pPr>
        <w:pStyle w:val="NoSpacing"/>
        <w:jc w:val="both"/>
      </w:pPr>
    </w:p>
    <w:p w:rsidR="001F165B" w:rsidRDefault="00325DBD" w:rsidP="00325DBD">
      <w:pPr>
        <w:pStyle w:val="NoSpacing"/>
        <w:jc w:val="both"/>
        <w:rPr>
          <w:b/>
        </w:rPr>
      </w:pPr>
      <w:r w:rsidRPr="004772D7">
        <w:rPr>
          <w:b/>
        </w:rPr>
        <w:t xml:space="preserve">Key Performance Indicators to end of March 2018  </w:t>
      </w:r>
    </w:p>
    <w:p w:rsidR="001F165B" w:rsidRDefault="00E906FA" w:rsidP="001F165B">
      <w:pPr>
        <w:pStyle w:val="NoSpacing"/>
        <w:jc w:val="both"/>
        <w:rPr>
          <w:b/>
        </w:rPr>
      </w:pPr>
    </w:p>
    <w:p w:rsidR="001F165B" w:rsidRDefault="00325DBD" w:rsidP="001F165B">
      <w:pPr>
        <w:pStyle w:val="NoSpacing"/>
        <w:jc w:val="both"/>
      </w:pPr>
      <w:r w:rsidRPr="00E926FD">
        <w:t>The tables below set</w:t>
      </w:r>
      <w:r>
        <w:t>s</w:t>
      </w:r>
      <w:r w:rsidRPr="00E926FD">
        <w:t xml:space="preserve"> out the cumulative performance</w:t>
      </w:r>
      <w:r>
        <w:t>,</w:t>
      </w:r>
      <w:r w:rsidRPr="00E926FD">
        <w:t xml:space="preserve"> as measured across a range of thematic social value m</w:t>
      </w:r>
      <w:r>
        <w:t>etrics across Lancashire's Growth Deal P</w:t>
      </w:r>
      <w:r w:rsidRPr="00E926FD">
        <w:t>r</w:t>
      </w:r>
      <w:r>
        <w:t>ogramme to the end of March 2018.</w:t>
      </w:r>
    </w:p>
    <w:p w:rsidR="001F165B" w:rsidRDefault="00E906FA" w:rsidP="001F165B">
      <w:pPr>
        <w:pStyle w:val="NoSpacing"/>
        <w:jc w:val="both"/>
      </w:pPr>
    </w:p>
    <w:p w:rsidR="001F165B" w:rsidRDefault="00325DBD" w:rsidP="00325DBD">
      <w:pPr>
        <w:pStyle w:val="NoSpacing"/>
        <w:jc w:val="both"/>
      </w:pPr>
      <w:r>
        <w:t>Of the 34 projects within the Growth Deal programme which were live as at 31</w:t>
      </w:r>
      <w:r w:rsidRPr="00D31C96">
        <w:rPr>
          <w:vertAlign w:val="superscript"/>
        </w:rPr>
        <w:t>st</w:t>
      </w:r>
      <w:r>
        <w:t xml:space="preserve"> March 2018:</w:t>
      </w:r>
    </w:p>
    <w:p w:rsidR="001F165B" w:rsidRDefault="00E906FA" w:rsidP="001F165B">
      <w:pPr>
        <w:pStyle w:val="ListParagraph"/>
      </w:pPr>
    </w:p>
    <w:p w:rsidR="001F165B" w:rsidRDefault="00325DBD" w:rsidP="001F165B">
      <w:pPr>
        <w:pStyle w:val="NoSpacing"/>
        <w:numPr>
          <w:ilvl w:val="2"/>
          <w:numId w:val="5"/>
        </w:numPr>
        <w:ind w:left="984"/>
        <w:jc w:val="both"/>
      </w:pPr>
      <w:r>
        <w:t>29 projects have returned their completed social value reporting template;</w:t>
      </w:r>
    </w:p>
    <w:p w:rsidR="001F165B" w:rsidRDefault="00325DBD" w:rsidP="001F165B">
      <w:pPr>
        <w:pStyle w:val="NoSpacing"/>
        <w:numPr>
          <w:ilvl w:val="2"/>
          <w:numId w:val="5"/>
        </w:numPr>
        <w:ind w:left="984"/>
        <w:jc w:val="both"/>
      </w:pPr>
      <w:r>
        <w:lastRenderedPageBreak/>
        <w:t>3 projects are 'forecasting' social value activity;</w:t>
      </w:r>
    </w:p>
    <w:p w:rsidR="001F165B" w:rsidRDefault="00325DBD" w:rsidP="001F165B">
      <w:pPr>
        <w:pStyle w:val="NoSpacing"/>
        <w:numPr>
          <w:ilvl w:val="2"/>
          <w:numId w:val="5"/>
        </w:numPr>
        <w:ind w:left="984"/>
        <w:jc w:val="both"/>
      </w:pPr>
      <w:r>
        <w:t>26 projects are reporting 'actual' social value activity; and</w:t>
      </w:r>
    </w:p>
    <w:p w:rsidR="001F165B" w:rsidRDefault="00325DBD" w:rsidP="001F165B">
      <w:pPr>
        <w:pStyle w:val="NoSpacing"/>
        <w:numPr>
          <w:ilvl w:val="2"/>
          <w:numId w:val="5"/>
        </w:numPr>
        <w:ind w:left="984"/>
        <w:jc w:val="both"/>
      </w:pPr>
      <w:r>
        <w:t>5 projects are of a size/nature unsuited to delivery of social value outputs.</w:t>
      </w:r>
    </w:p>
    <w:p w:rsidR="001F165B" w:rsidRDefault="00E906FA" w:rsidP="001F165B">
      <w:pPr>
        <w:pStyle w:val="NoSpacing"/>
        <w:jc w:val="both"/>
      </w:pPr>
    </w:p>
    <w:p w:rsidR="001F165B" w:rsidRPr="00E926FD" w:rsidRDefault="00325DBD" w:rsidP="001F165B">
      <w:pPr>
        <w:pStyle w:val="NoSpacing"/>
        <w:jc w:val="both"/>
      </w:pPr>
      <w:r>
        <w:t xml:space="preserve">In addition to the outputs delivered to date, the tables outlined below also apply the National Themes Outcomes and Measures methodology to provide an indicative social value for each metric. </w:t>
      </w:r>
    </w:p>
    <w:p w:rsidR="001F165B" w:rsidRDefault="00E906FA" w:rsidP="001F165B">
      <w:pPr>
        <w:pStyle w:val="NoSpacing"/>
        <w:jc w:val="both"/>
      </w:pPr>
    </w:p>
    <w:p w:rsidR="001F165B" w:rsidRPr="00CA2BB7" w:rsidRDefault="00325DBD" w:rsidP="001F165B">
      <w:pPr>
        <w:pStyle w:val="NoSpacing"/>
        <w:jc w:val="both"/>
        <w:rPr>
          <w:b/>
        </w:rPr>
      </w:pPr>
      <w:r w:rsidRPr="00CA2BB7">
        <w:rPr>
          <w:b/>
        </w:rPr>
        <w:t>Future Workforce</w:t>
      </w:r>
    </w:p>
    <w:tbl>
      <w:tblPr>
        <w:tblStyle w:val="TableGrid"/>
        <w:tblW w:w="0" w:type="auto"/>
        <w:tblLook w:val="04A0" w:firstRow="1" w:lastRow="0" w:firstColumn="1" w:lastColumn="0" w:noHBand="0" w:noVBand="1"/>
      </w:tblPr>
      <w:tblGrid>
        <w:gridCol w:w="6232"/>
        <w:gridCol w:w="1276"/>
        <w:gridCol w:w="1508"/>
      </w:tblGrid>
      <w:tr w:rsidR="00A95ED3" w:rsidTr="003C0468">
        <w:tc>
          <w:tcPr>
            <w:tcW w:w="6232" w:type="dxa"/>
          </w:tcPr>
          <w:p w:rsidR="001F165B" w:rsidRPr="005F4B46" w:rsidRDefault="00325DBD" w:rsidP="003C0468">
            <w:pPr>
              <w:pStyle w:val="NoSpacing"/>
              <w:jc w:val="both"/>
              <w:rPr>
                <w:b/>
                <w:sz w:val="20"/>
                <w:szCs w:val="20"/>
              </w:rPr>
            </w:pPr>
            <w:r w:rsidRPr="005F4B46">
              <w:rPr>
                <w:b/>
                <w:sz w:val="20"/>
                <w:szCs w:val="20"/>
              </w:rPr>
              <w:t>Metric</w:t>
            </w:r>
          </w:p>
        </w:tc>
        <w:tc>
          <w:tcPr>
            <w:tcW w:w="1276" w:type="dxa"/>
          </w:tcPr>
          <w:p w:rsidR="001F165B" w:rsidRPr="005F4B46" w:rsidRDefault="00325DBD" w:rsidP="003C0468">
            <w:pPr>
              <w:pStyle w:val="NoSpacing"/>
              <w:rPr>
                <w:b/>
                <w:sz w:val="20"/>
                <w:szCs w:val="20"/>
              </w:rPr>
            </w:pPr>
            <w:r>
              <w:rPr>
                <w:b/>
                <w:sz w:val="20"/>
                <w:szCs w:val="20"/>
              </w:rPr>
              <w:t>T</w:t>
            </w:r>
            <w:r w:rsidRPr="005F4B46">
              <w:rPr>
                <w:b/>
                <w:sz w:val="20"/>
                <w:szCs w:val="20"/>
              </w:rPr>
              <w:t>o date</w:t>
            </w:r>
          </w:p>
        </w:tc>
        <w:tc>
          <w:tcPr>
            <w:tcW w:w="1508" w:type="dxa"/>
          </w:tcPr>
          <w:p w:rsidR="001F165B" w:rsidRPr="005F4B46" w:rsidRDefault="00325DBD" w:rsidP="003C0468">
            <w:pPr>
              <w:pStyle w:val="NoSpacing"/>
              <w:jc w:val="both"/>
              <w:rPr>
                <w:b/>
                <w:sz w:val="20"/>
                <w:szCs w:val="20"/>
              </w:rPr>
            </w:pPr>
            <w:r w:rsidRPr="005F4B46">
              <w:rPr>
                <w:b/>
                <w:sz w:val="20"/>
                <w:szCs w:val="20"/>
              </w:rPr>
              <w:t>Indicative Social Value</w:t>
            </w:r>
          </w:p>
        </w:tc>
      </w:tr>
      <w:tr w:rsidR="00A95ED3" w:rsidTr="003C0468">
        <w:tc>
          <w:tcPr>
            <w:tcW w:w="6232" w:type="dxa"/>
          </w:tcPr>
          <w:p w:rsidR="001F165B" w:rsidRPr="005F4B46" w:rsidRDefault="00325DBD" w:rsidP="003C0468">
            <w:pPr>
              <w:pStyle w:val="NoSpacing"/>
              <w:jc w:val="both"/>
              <w:rPr>
                <w:sz w:val="20"/>
                <w:szCs w:val="20"/>
              </w:rPr>
            </w:pPr>
            <w:r w:rsidRPr="005F4B46">
              <w:rPr>
                <w:sz w:val="20"/>
                <w:szCs w:val="20"/>
              </w:rPr>
              <w:t>Hours volunteered to support learning and education through curriculum links, careers and STEM activity.</w:t>
            </w:r>
          </w:p>
        </w:tc>
        <w:tc>
          <w:tcPr>
            <w:tcW w:w="1276" w:type="dxa"/>
          </w:tcPr>
          <w:p w:rsidR="001F165B" w:rsidRPr="005F4B46" w:rsidRDefault="00325DBD" w:rsidP="003C0468">
            <w:pPr>
              <w:pStyle w:val="NoSpacing"/>
              <w:jc w:val="both"/>
              <w:rPr>
                <w:sz w:val="20"/>
                <w:szCs w:val="20"/>
              </w:rPr>
            </w:pPr>
            <w:r w:rsidRPr="005F4B46">
              <w:rPr>
                <w:sz w:val="20"/>
                <w:szCs w:val="20"/>
              </w:rPr>
              <w:t>413</w:t>
            </w:r>
          </w:p>
        </w:tc>
        <w:tc>
          <w:tcPr>
            <w:tcW w:w="1508" w:type="dxa"/>
          </w:tcPr>
          <w:p w:rsidR="001F165B" w:rsidRPr="005F4B46" w:rsidRDefault="00325DBD" w:rsidP="003C0468">
            <w:pPr>
              <w:pStyle w:val="NoSpacing"/>
              <w:jc w:val="both"/>
              <w:rPr>
                <w:sz w:val="20"/>
                <w:szCs w:val="20"/>
              </w:rPr>
            </w:pPr>
            <w:r w:rsidRPr="005F4B46">
              <w:rPr>
                <w:sz w:val="20"/>
                <w:szCs w:val="20"/>
              </w:rPr>
              <w:t>£41,717</w:t>
            </w:r>
            <w:r w:rsidRPr="005F4B46">
              <w:rPr>
                <w:sz w:val="20"/>
                <w:szCs w:val="20"/>
              </w:rPr>
              <w:tab/>
            </w:r>
          </w:p>
        </w:tc>
      </w:tr>
      <w:tr w:rsidR="00A95ED3" w:rsidTr="003C0468">
        <w:tc>
          <w:tcPr>
            <w:tcW w:w="6232" w:type="dxa"/>
          </w:tcPr>
          <w:p w:rsidR="001F165B" w:rsidRPr="005F4B46" w:rsidRDefault="00325DBD" w:rsidP="003C0468">
            <w:pPr>
              <w:pStyle w:val="NoSpacing"/>
              <w:jc w:val="both"/>
              <w:rPr>
                <w:sz w:val="20"/>
                <w:szCs w:val="20"/>
              </w:rPr>
            </w:pPr>
            <w:r w:rsidRPr="005F4B46">
              <w:rPr>
                <w:sz w:val="20"/>
                <w:szCs w:val="20"/>
              </w:rPr>
              <w:t>Number of work experience placements for 15-18 year olds at Lancashire schools and colleges</w:t>
            </w:r>
          </w:p>
        </w:tc>
        <w:tc>
          <w:tcPr>
            <w:tcW w:w="1276" w:type="dxa"/>
          </w:tcPr>
          <w:p w:rsidR="001F165B" w:rsidRPr="005F4B46" w:rsidRDefault="00325DBD" w:rsidP="003C0468">
            <w:pPr>
              <w:pStyle w:val="NoSpacing"/>
              <w:jc w:val="both"/>
              <w:rPr>
                <w:sz w:val="20"/>
                <w:szCs w:val="20"/>
              </w:rPr>
            </w:pPr>
            <w:r w:rsidRPr="005F4B46">
              <w:rPr>
                <w:sz w:val="20"/>
                <w:szCs w:val="20"/>
              </w:rPr>
              <w:t>160</w:t>
            </w:r>
          </w:p>
        </w:tc>
        <w:tc>
          <w:tcPr>
            <w:tcW w:w="1508" w:type="dxa"/>
          </w:tcPr>
          <w:p w:rsidR="001F165B" w:rsidRPr="005F4B46" w:rsidRDefault="00325DBD" w:rsidP="003C0468">
            <w:pPr>
              <w:pStyle w:val="NoSpacing"/>
              <w:jc w:val="both"/>
              <w:rPr>
                <w:sz w:val="20"/>
                <w:szCs w:val="20"/>
              </w:rPr>
            </w:pPr>
            <w:r w:rsidRPr="005F4B46">
              <w:rPr>
                <w:sz w:val="20"/>
                <w:szCs w:val="20"/>
              </w:rPr>
              <w:t>£23,032</w:t>
            </w:r>
            <w:r w:rsidRPr="005F4B46">
              <w:rPr>
                <w:sz w:val="20"/>
                <w:szCs w:val="20"/>
              </w:rPr>
              <w:tab/>
            </w:r>
          </w:p>
        </w:tc>
      </w:tr>
      <w:tr w:rsidR="00A95ED3" w:rsidTr="003C0468">
        <w:tc>
          <w:tcPr>
            <w:tcW w:w="6232" w:type="dxa"/>
          </w:tcPr>
          <w:p w:rsidR="001F165B" w:rsidRPr="005F4B46" w:rsidRDefault="00325DBD" w:rsidP="003C0468">
            <w:pPr>
              <w:pStyle w:val="NoSpacing"/>
              <w:jc w:val="both"/>
              <w:rPr>
                <w:sz w:val="20"/>
                <w:szCs w:val="20"/>
              </w:rPr>
            </w:pPr>
            <w:r w:rsidRPr="005F4B46">
              <w:rPr>
                <w:sz w:val="20"/>
                <w:szCs w:val="20"/>
              </w:rPr>
              <w:t>Number of undergraduate project placements offered to Lancashire's Universities.</w:t>
            </w:r>
          </w:p>
        </w:tc>
        <w:tc>
          <w:tcPr>
            <w:tcW w:w="1276" w:type="dxa"/>
          </w:tcPr>
          <w:p w:rsidR="001F165B" w:rsidRPr="005F4B46" w:rsidRDefault="00325DBD" w:rsidP="003C0468">
            <w:pPr>
              <w:pStyle w:val="NoSpacing"/>
              <w:jc w:val="both"/>
              <w:rPr>
                <w:sz w:val="20"/>
                <w:szCs w:val="20"/>
              </w:rPr>
            </w:pPr>
            <w:r w:rsidRPr="005F4B46">
              <w:rPr>
                <w:sz w:val="20"/>
                <w:szCs w:val="20"/>
              </w:rPr>
              <w:t>69</w:t>
            </w:r>
          </w:p>
        </w:tc>
        <w:tc>
          <w:tcPr>
            <w:tcW w:w="1508" w:type="dxa"/>
          </w:tcPr>
          <w:p w:rsidR="001F165B" w:rsidRPr="005F4B46" w:rsidRDefault="00325DBD" w:rsidP="003C0468">
            <w:pPr>
              <w:pStyle w:val="NoSpacing"/>
              <w:jc w:val="both"/>
              <w:rPr>
                <w:sz w:val="20"/>
                <w:szCs w:val="20"/>
              </w:rPr>
            </w:pPr>
            <w:r w:rsidRPr="005F4B46">
              <w:rPr>
                <w:sz w:val="20"/>
                <w:szCs w:val="20"/>
              </w:rPr>
              <w:t>£9,933</w:t>
            </w:r>
            <w:r w:rsidRPr="005F4B46">
              <w:rPr>
                <w:sz w:val="20"/>
                <w:szCs w:val="20"/>
              </w:rPr>
              <w:tab/>
            </w:r>
          </w:p>
        </w:tc>
      </w:tr>
      <w:tr w:rsidR="00A95ED3" w:rsidTr="003C0468">
        <w:tc>
          <w:tcPr>
            <w:tcW w:w="6232" w:type="dxa"/>
          </w:tcPr>
          <w:p w:rsidR="001F165B" w:rsidRPr="005F4B46" w:rsidRDefault="00325DBD" w:rsidP="003C0468">
            <w:pPr>
              <w:pStyle w:val="NoSpacing"/>
              <w:jc w:val="both"/>
              <w:rPr>
                <w:sz w:val="20"/>
                <w:szCs w:val="20"/>
              </w:rPr>
            </w:pPr>
            <w:r w:rsidRPr="005F4B46">
              <w:rPr>
                <w:sz w:val="20"/>
                <w:szCs w:val="20"/>
              </w:rPr>
              <w:t>Number of graduate internships for graduates living in Lancashire</w:t>
            </w:r>
          </w:p>
        </w:tc>
        <w:tc>
          <w:tcPr>
            <w:tcW w:w="1276" w:type="dxa"/>
          </w:tcPr>
          <w:p w:rsidR="001F165B" w:rsidRPr="005F4B46" w:rsidRDefault="00325DBD" w:rsidP="003C0468">
            <w:pPr>
              <w:pStyle w:val="NoSpacing"/>
              <w:jc w:val="both"/>
              <w:rPr>
                <w:sz w:val="20"/>
                <w:szCs w:val="20"/>
              </w:rPr>
            </w:pPr>
            <w:r w:rsidRPr="005F4B46">
              <w:rPr>
                <w:sz w:val="20"/>
                <w:szCs w:val="20"/>
              </w:rPr>
              <w:t>22</w:t>
            </w:r>
          </w:p>
        </w:tc>
        <w:tc>
          <w:tcPr>
            <w:tcW w:w="1508" w:type="dxa"/>
          </w:tcPr>
          <w:p w:rsidR="001F165B" w:rsidRPr="005F4B46" w:rsidRDefault="00325DBD" w:rsidP="003C0468">
            <w:pPr>
              <w:pStyle w:val="NoSpacing"/>
              <w:jc w:val="both"/>
              <w:rPr>
                <w:sz w:val="20"/>
                <w:szCs w:val="20"/>
              </w:rPr>
            </w:pPr>
            <w:r w:rsidRPr="005F4B46">
              <w:rPr>
                <w:sz w:val="20"/>
                <w:szCs w:val="20"/>
              </w:rPr>
              <w:t>£19,001</w:t>
            </w:r>
            <w:r w:rsidRPr="005F4B46">
              <w:rPr>
                <w:sz w:val="20"/>
                <w:szCs w:val="20"/>
              </w:rPr>
              <w:tab/>
            </w:r>
          </w:p>
        </w:tc>
      </w:tr>
    </w:tbl>
    <w:p w:rsidR="001F165B" w:rsidRDefault="00E906FA" w:rsidP="001F165B">
      <w:pPr>
        <w:pStyle w:val="NoSpacing"/>
        <w:jc w:val="both"/>
      </w:pPr>
    </w:p>
    <w:p w:rsidR="001F165B" w:rsidRPr="00E926FD" w:rsidRDefault="00325DBD" w:rsidP="001F165B">
      <w:pPr>
        <w:ind w:left="0" w:firstLine="0"/>
        <w:rPr>
          <w:b/>
        </w:rPr>
      </w:pPr>
      <w:r w:rsidRPr="00E926FD">
        <w:rPr>
          <w:b/>
        </w:rPr>
        <w:t>Inclusive Workforce</w:t>
      </w:r>
    </w:p>
    <w:tbl>
      <w:tblPr>
        <w:tblStyle w:val="TableGrid"/>
        <w:tblW w:w="0" w:type="auto"/>
        <w:tblLook w:val="04A0" w:firstRow="1" w:lastRow="0" w:firstColumn="1" w:lastColumn="0" w:noHBand="0" w:noVBand="1"/>
      </w:tblPr>
      <w:tblGrid>
        <w:gridCol w:w="6232"/>
        <w:gridCol w:w="1276"/>
        <w:gridCol w:w="1508"/>
      </w:tblGrid>
      <w:tr w:rsidR="00A95ED3" w:rsidTr="003C0468">
        <w:tc>
          <w:tcPr>
            <w:tcW w:w="6232" w:type="dxa"/>
          </w:tcPr>
          <w:p w:rsidR="001F165B" w:rsidRPr="00E926FD" w:rsidRDefault="00325DBD" w:rsidP="003C0468">
            <w:pPr>
              <w:pStyle w:val="NoSpacing"/>
              <w:jc w:val="both"/>
              <w:rPr>
                <w:b/>
                <w:sz w:val="20"/>
                <w:szCs w:val="20"/>
              </w:rPr>
            </w:pPr>
            <w:r w:rsidRPr="00E926FD">
              <w:rPr>
                <w:b/>
                <w:sz w:val="20"/>
                <w:szCs w:val="20"/>
              </w:rPr>
              <w:t>Metric</w:t>
            </w:r>
          </w:p>
        </w:tc>
        <w:tc>
          <w:tcPr>
            <w:tcW w:w="1276" w:type="dxa"/>
          </w:tcPr>
          <w:p w:rsidR="001F165B" w:rsidRPr="00E926FD" w:rsidRDefault="00325DBD" w:rsidP="003C0468">
            <w:pPr>
              <w:pStyle w:val="NoSpacing"/>
              <w:jc w:val="both"/>
              <w:rPr>
                <w:b/>
                <w:sz w:val="20"/>
                <w:szCs w:val="20"/>
              </w:rPr>
            </w:pPr>
            <w:r w:rsidRPr="00E926FD">
              <w:rPr>
                <w:b/>
                <w:sz w:val="20"/>
                <w:szCs w:val="20"/>
              </w:rPr>
              <w:t>To date</w:t>
            </w:r>
          </w:p>
        </w:tc>
        <w:tc>
          <w:tcPr>
            <w:tcW w:w="1508" w:type="dxa"/>
          </w:tcPr>
          <w:p w:rsidR="001F165B" w:rsidRPr="00E926FD" w:rsidRDefault="00325DBD" w:rsidP="003C0468">
            <w:pPr>
              <w:pStyle w:val="NoSpacing"/>
              <w:jc w:val="both"/>
              <w:rPr>
                <w:b/>
                <w:sz w:val="20"/>
                <w:szCs w:val="20"/>
              </w:rPr>
            </w:pPr>
            <w:r w:rsidRPr="00E926FD">
              <w:rPr>
                <w:b/>
                <w:sz w:val="20"/>
                <w:szCs w:val="20"/>
              </w:rPr>
              <w:t>Indicative Social Value</w:t>
            </w:r>
          </w:p>
        </w:tc>
      </w:tr>
      <w:tr w:rsidR="00A95ED3" w:rsidTr="003C0468">
        <w:tc>
          <w:tcPr>
            <w:tcW w:w="6232" w:type="dxa"/>
          </w:tcPr>
          <w:p w:rsidR="001F165B" w:rsidRPr="005F4B46" w:rsidRDefault="00325DBD" w:rsidP="003C0468">
            <w:pPr>
              <w:pStyle w:val="NoSpacing"/>
              <w:jc w:val="both"/>
              <w:rPr>
                <w:sz w:val="20"/>
                <w:szCs w:val="20"/>
              </w:rPr>
            </w:pPr>
            <w:r w:rsidRPr="005F4B46">
              <w:rPr>
                <w:sz w:val="20"/>
                <w:szCs w:val="20"/>
              </w:rPr>
              <w:t>Number of employment opportunities offered to Lancashire residents that are unemployed or at a disadvantage.</w:t>
            </w:r>
          </w:p>
        </w:tc>
        <w:tc>
          <w:tcPr>
            <w:tcW w:w="1276" w:type="dxa"/>
          </w:tcPr>
          <w:p w:rsidR="001F165B" w:rsidRPr="005F4B46" w:rsidRDefault="00325DBD" w:rsidP="003C0468">
            <w:pPr>
              <w:pStyle w:val="NoSpacing"/>
              <w:jc w:val="both"/>
              <w:rPr>
                <w:sz w:val="20"/>
                <w:szCs w:val="20"/>
              </w:rPr>
            </w:pPr>
            <w:r w:rsidRPr="005F4B46">
              <w:rPr>
                <w:sz w:val="20"/>
                <w:szCs w:val="20"/>
              </w:rPr>
              <w:t>45</w:t>
            </w:r>
          </w:p>
        </w:tc>
        <w:tc>
          <w:tcPr>
            <w:tcW w:w="1508" w:type="dxa"/>
          </w:tcPr>
          <w:p w:rsidR="001F165B" w:rsidRPr="005F4B46" w:rsidRDefault="00325DBD" w:rsidP="003C0468">
            <w:pPr>
              <w:pStyle w:val="NoSpacing"/>
              <w:jc w:val="both"/>
              <w:rPr>
                <w:sz w:val="20"/>
                <w:szCs w:val="20"/>
              </w:rPr>
            </w:pPr>
            <w:r>
              <w:rPr>
                <w:sz w:val="20"/>
                <w:szCs w:val="20"/>
              </w:rPr>
              <w:t>£661,570</w:t>
            </w:r>
          </w:p>
        </w:tc>
      </w:tr>
      <w:tr w:rsidR="00A95ED3" w:rsidTr="003C0468">
        <w:tc>
          <w:tcPr>
            <w:tcW w:w="6232" w:type="dxa"/>
          </w:tcPr>
          <w:p w:rsidR="001F165B" w:rsidRPr="005F4B46" w:rsidRDefault="00325DBD" w:rsidP="003C0468">
            <w:pPr>
              <w:pStyle w:val="NoSpacing"/>
              <w:jc w:val="both"/>
              <w:rPr>
                <w:sz w:val="20"/>
                <w:szCs w:val="20"/>
              </w:rPr>
            </w:pPr>
            <w:r w:rsidRPr="005F4B46">
              <w:rPr>
                <w:sz w:val="20"/>
                <w:szCs w:val="20"/>
              </w:rPr>
              <w:t>Number of work placements or trails offered to unemployed Lancashire residents.</w:t>
            </w:r>
          </w:p>
        </w:tc>
        <w:tc>
          <w:tcPr>
            <w:tcW w:w="1276" w:type="dxa"/>
          </w:tcPr>
          <w:p w:rsidR="001F165B" w:rsidRPr="005F4B46" w:rsidRDefault="00325DBD" w:rsidP="003C0468">
            <w:pPr>
              <w:pStyle w:val="NoSpacing"/>
              <w:jc w:val="both"/>
              <w:rPr>
                <w:sz w:val="20"/>
                <w:szCs w:val="20"/>
              </w:rPr>
            </w:pPr>
            <w:r>
              <w:rPr>
                <w:sz w:val="20"/>
                <w:szCs w:val="20"/>
              </w:rPr>
              <w:t>35</w:t>
            </w:r>
          </w:p>
        </w:tc>
        <w:tc>
          <w:tcPr>
            <w:tcW w:w="1508" w:type="dxa"/>
          </w:tcPr>
          <w:p w:rsidR="001F165B" w:rsidRPr="005F4B46" w:rsidRDefault="00325DBD" w:rsidP="003C0468">
            <w:pPr>
              <w:pStyle w:val="NoSpacing"/>
              <w:jc w:val="both"/>
              <w:rPr>
                <w:sz w:val="20"/>
                <w:szCs w:val="20"/>
              </w:rPr>
            </w:pPr>
            <w:r w:rsidRPr="00E926FD">
              <w:rPr>
                <w:sz w:val="20"/>
                <w:szCs w:val="20"/>
              </w:rPr>
              <w:t>£20,153</w:t>
            </w:r>
            <w:r w:rsidRPr="00E926FD">
              <w:rPr>
                <w:sz w:val="20"/>
                <w:szCs w:val="20"/>
              </w:rPr>
              <w:tab/>
            </w:r>
          </w:p>
        </w:tc>
      </w:tr>
      <w:tr w:rsidR="00A95ED3" w:rsidTr="003C0468">
        <w:tc>
          <w:tcPr>
            <w:tcW w:w="6232" w:type="dxa"/>
          </w:tcPr>
          <w:p w:rsidR="001F165B" w:rsidRPr="005F4B46" w:rsidRDefault="00325DBD" w:rsidP="003C0468">
            <w:pPr>
              <w:pStyle w:val="NoSpacing"/>
              <w:jc w:val="both"/>
              <w:rPr>
                <w:sz w:val="20"/>
                <w:szCs w:val="20"/>
              </w:rPr>
            </w:pPr>
            <w:r w:rsidRPr="00E926FD">
              <w:rPr>
                <w:sz w:val="20"/>
                <w:szCs w:val="20"/>
              </w:rPr>
              <w:t>Working days committed from business volunteers to mentor NEET ('not in education, employment or training') young people (16-18 year olds).</w:t>
            </w:r>
          </w:p>
        </w:tc>
        <w:tc>
          <w:tcPr>
            <w:tcW w:w="1276" w:type="dxa"/>
          </w:tcPr>
          <w:p w:rsidR="001F165B" w:rsidRPr="005F4B46" w:rsidRDefault="00325DBD" w:rsidP="003C0468">
            <w:pPr>
              <w:pStyle w:val="NoSpacing"/>
              <w:jc w:val="both"/>
              <w:rPr>
                <w:sz w:val="20"/>
                <w:szCs w:val="20"/>
              </w:rPr>
            </w:pPr>
            <w:r>
              <w:rPr>
                <w:sz w:val="20"/>
                <w:szCs w:val="20"/>
              </w:rPr>
              <w:t>21</w:t>
            </w:r>
          </w:p>
        </w:tc>
        <w:tc>
          <w:tcPr>
            <w:tcW w:w="1508" w:type="dxa"/>
          </w:tcPr>
          <w:p w:rsidR="001F165B" w:rsidRPr="005F4B46" w:rsidRDefault="00325DBD" w:rsidP="003C0468">
            <w:pPr>
              <w:pStyle w:val="NoSpacing"/>
              <w:jc w:val="both"/>
              <w:rPr>
                <w:sz w:val="20"/>
                <w:szCs w:val="20"/>
              </w:rPr>
            </w:pPr>
            <w:r w:rsidRPr="00E926FD">
              <w:rPr>
                <w:sz w:val="20"/>
                <w:szCs w:val="20"/>
              </w:rPr>
              <w:t>£13,859</w:t>
            </w:r>
            <w:r w:rsidRPr="00E926FD">
              <w:rPr>
                <w:sz w:val="20"/>
                <w:szCs w:val="20"/>
              </w:rPr>
              <w:tab/>
            </w:r>
          </w:p>
        </w:tc>
      </w:tr>
      <w:tr w:rsidR="00A95ED3" w:rsidTr="003C0468">
        <w:tc>
          <w:tcPr>
            <w:tcW w:w="6232" w:type="dxa"/>
          </w:tcPr>
          <w:p w:rsidR="001F165B" w:rsidRPr="005F4B46" w:rsidRDefault="00325DBD" w:rsidP="003C0468">
            <w:pPr>
              <w:pStyle w:val="NoSpacing"/>
              <w:jc w:val="both"/>
              <w:rPr>
                <w:sz w:val="20"/>
                <w:szCs w:val="20"/>
              </w:rPr>
            </w:pPr>
            <w:r w:rsidRPr="00F918D1">
              <w:rPr>
                <w:sz w:val="20"/>
                <w:szCs w:val="20"/>
              </w:rPr>
              <w:t>Number of e</w:t>
            </w:r>
            <w:r>
              <w:rPr>
                <w:sz w:val="20"/>
                <w:szCs w:val="20"/>
              </w:rPr>
              <w:t>mployment jobs created/sustained through construction phase activity</w:t>
            </w:r>
          </w:p>
        </w:tc>
        <w:tc>
          <w:tcPr>
            <w:tcW w:w="1276" w:type="dxa"/>
          </w:tcPr>
          <w:p w:rsidR="001F165B" w:rsidRPr="005F4B46" w:rsidRDefault="00325DBD" w:rsidP="003C0468">
            <w:pPr>
              <w:pStyle w:val="NoSpacing"/>
              <w:jc w:val="both"/>
              <w:rPr>
                <w:sz w:val="20"/>
                <w:szCs w:val="20"/>
              </w:rPr>
            </w:pPr>
            <w:r>
              <w:rPr>
                <w:sz w:val="20"/>
                <w:szCs w:val="20"/>
              </w:rPr>
              <w:t>599</w:t>
            </w:r>
          </w:p>
        </w:tc>
        <w:tc>
          <w:tcPr>
            <w:tcW w:w="1508" w:type="dxa"/>
          </w:tcPr>
          <w:p w:rsidR="001F165B" w:rsidRPr="005F4B46" w:rsidRDefault="00325DBD" w:rsidP="003C0468">
            <w:pPr>
              <w:pStyle w:val="NoSpacing"/>
              <w:jc w:val="both"/>
              <w:rPr>
                <w:sz w:val="20"/>
                <w:szCs w:val="20"/>
              </w:rPr>
            </w:pPr>
            <w:r>
              <w:rPr>
                <w:sz w:val="20"/>
                <w:szCs w:val="20"/>
              </w:rPr>
              <w:t>Not counted due to displacement</w:t>
            </w:r>
          </w:p>
        </w:tc>
      </w:tr>
    </w:tbl>
    <w:p w:rsidR="001F165B" w:rsidRDefault="00E906FA" w:rsidP="001F165B">
      <w:pPr>
        <w:ind w:left="0" w:firstLine="0"/>
      </w:pPr>
    </w:p>
    <w:p w:rsidR="001F165B" w:rsidRPr="00F918D1" w:rsidRDefault="00325DBD" w:rsidP="001F165B">
      <w:pPr>
        <w:ind w:left="0" w:firstLine="0"/>
        <w:rPr>
          <w:b/>
        </w:rPr>
      </w:pPr>
      <w:r w:rsidRPr="00F918D1">
        <w:rPr>
          <w:b/>
        </w:rPr>
        <w:t>Skilled and Productive Workforce</w:t>
      </w:r>
    </w:p>
    <w:tbl>
      <w:tblPr>
        <w:tblStyle w:val="TableGrid"/>
        <w:tblW w:w="0" w:type="auto"/>
        <w:tblLook w:val="04A0" w:firstRow="1" w:lastRow="0" w:firstColumn="1" w:lastColumn="0" w:noHBand="0" w:noVBand="1"/>
      </w:tblPr>
      <w:tblGrid>
        <w:gridCol w:w="6232"/>
        <w:gridCol w:w="1276"/>
        <w:gridCol w:w="1508"/>
      </w:tblGrid>
      <w:tr w:rsidR="00A95ED3" w:rsidTr="003C0468">
        <w:tc>
          <w:tcPr>
            <w:tcW w:w="6232" w:type="dxa"/>
          </w:tcPr>
          <w:p w:rsidR="001F165B" w:rsidRPr="00F918D1" w:rsidRDefault="00325DBD" w:rsidP="003C0468">
            <w:pPr>
              <w:pStyle w:val="NoSpacing"/>
              <w:jc w:val="both"/>
              <w:rPr>
                <w:b/>
                <w:sz w:val="20"/>
                <w:szCs w:val="20"/>
              </w:rPr>
            </w:pPr>
            <w:r w:rsidRPr="00F918D1">
              <w:rPr>
                <w:b/>
                <w:sz w:val="20"/>
                <w:szCs w:val="20"/>
              </w:rPr>
              <w:t>Metric</w:t>
            </w:r>
          </w:p>
        </w:tc>
        <w:tc>
          <w:tcPr>
            <w:tcW w:w="1276" w:type="dxa"/>
          </w:tcPr>
          <w:p w:rsidR="001F165B" w:rsidRPr="00F918D1" w:rsidRDefault="00325DBD" w:rsidP="003C0468">
            <w:pPr>
              <w:pStyle w:val="NoSpacing"/>
              <w:jc w:val="both"/>
              <w:rPr>
                <w:b/>
                <w:sz w:val="20"/>
                <w:szCs w:val="20"/>
              </w:rPr>
            </w:pPr>
            <w:r w:rsidRPr="00F918D1">
              <w:rPr>
                <w:b/>
                <w:sz w:val="20"/>
                <w:szCs w:val="20"/>
              </w:rPr>
              <w:t>To date</w:t>
            </w:r>
          </w:p>
        </w:tc>
        <w:tc>
          <w:tcPr>
            <w:tcW w:w="1508" w:type="dxa"/>
          </w:tcPr>
          <w:p w:rsidR="001F165B" w:rsidRPr="00F918D1" w:rsidRDefault="00325DBD" w:rsidP="003C0468">
            <w:pPr>
              <w:pStyle w:val="NoSpacing"/>
              <w:jc w:val="both"/>
              <w:rPr>
                <w:b/>
                <w:sz w:val="20"/>
                <w:szCs w:val="20"/>
              </w:rPr>
            </w:pPr>
            <w:r w:rsidRPr="00F918D1">
              <w:rPr>
                <w:b/>
                <w:sz w:val="20"/>
                <w:szCs w:val="20"/>
              </w:rPr>
              <w:t>Indicative Social Value</w:t>
            </w:r>
          </w:p>
        </w:tc>
      </w:tr>
      <w:tr w:rsidR="00A95ED3" w:rsidTr="003C0468">
        <w:tc>
          <w:tcPr>
            <w:tcW w:w="6232" w:type="dxa"/>
          </w:tcPr>
          <w:p w:rsidR="001F165B" w:rsidRPr="00F918D1" w:rsidRDefault="00325DBD" w:rsidP="003C0468">
            <w:pPr>
              <w:pStyle w:val="NoSpacing"/>
              <w:jc w:val="both"/>
              <w:rPr>
                <w:sz w:val="20"/>
                <w:szCs w:val="20"/>
              </w:rPr>
            </w:pPr>
            <w:r w:rsidRPr="00F918D1">
              <w:rPr>
                <w:sz w:val="20"/>
                <w:szCs w:val="20"/>
              </w:rPr>
              <w:t>Number of apprenticeships (16-18 year old and Adults).</w:t>
            </w:r>
          </w:p>
        </w:tc>
        <w:tc>
          <w:tcPr>
            <w:tcW w:w="1276" w:type="dxa"/>
          </w:tcPr>
          <w:p w:rsidR="001F165B" w:rsidRPr="00F918D1" w:rsidRDefault="00325DBD" w:rsidP="003C0468">
            <w:pPr>
              <w:pStyle w:val="NoSpacing"/>
              <w:jc w:val="both"/>
              <w:rPr>
                <w:sz w:val="20"/>
                <w:szCs w:val="20"/>
              </w:rPr>
            </w:pPr>
            <w:r w:rsidRPr="00F918D1">
              <w:rPr>
                <w:sz w:val="20"/>
                <w:szCs w:val="20"/>
              </w:rPr>
              <w:t>393</w:t>
            </w:r>
            <w:r w:rsidRPr="00F918D1">
              <w:rPr>
                <w:sz w:val="20"/>
                <w:szCs w:val="20"/>
              </w:rPr>
              <w:tab/>
            </w:r>
          </w:p>
        </w:tc>
        <w:tc>
          <w:tcPr>
            <w:tcW w:w="1508" w:type="dxa"/>
          </w:tcPr>
          <w:p w:rsidR="001F165B" w:rsidRPr="00F918D1" w:rsidRDefault="00325DBD" w:rsidP="003C0468">
            <w:pPr>
              <w:pStyle w:val="NoSpacing"/>
              <w:jc w:val="both"/>
              <w:rPr>
                <w:sz w:val="20"/>
                <w:szCs w:val="20"/>
              </w:rPr>
            </w:pPr>
            <w:r w:rsidRPr="00F918D1">
              <w:rPr>
                <w:sz w:val="20"/>
                <w:szCs w:val="20"/>
              </w:rPr>
              <w:t>£3,434,065</w:t>
            </w:r>
            <w:r w:rsidRPr="00F918D1">
              <w:rPr>
                <w:sz w:val="20"/>
                <w:szCs w:val="20"/>
              </w:rPr>
              <w:tab/>
            </w:r>
          </w:p>
        </w:tc>
      </w:tr>
      <w:tr w:rsidR="00A95ED3" w:rsidTr="003C0468">
        <w:tc>
          <w:tcPr>
            <w:tcW w:w="6232" w:type="dxa"/>
          </w:tcPr>
          <w:p w:rsidR="001F165B" w:rsidRPr="00F918D1" w:rsidRDefault="00325DBD" w:rsidP="003C0468">
            <w:pPr>
              <w:pStyle w:val="NoSpacing"/>
              <w:jc w:val="both"/>
              <w:rPr>
                <w:sz w:val="20"/>
                <w:szCs w:val="20"/>
              </w:rPr>
            </w:pPr>
            <w:r w:rsidRPr="00F918D1">
              <w:rPr>
                <w:sz w:val="20"/>
                <w:szCs w:val="20"/>
              </w:rPr>
              <w:t>Commitment to workforce planning and investment in training of employees.</w:t>
            </w:r>
          </w:p>
        </w:tc>
        <w:tc>
          <w:tcPr>
            <w:tcW w:w="1276" w:type="dxa"/>
          </w:tcPr>
          <w:p w:rsidR="001F165B" w:rsidRPr="00F918D1" w:rsidRDefault="00325DBD" w:rsidP="003C0468">
            <w:pPr>
              <w:pStyle w:val="NoSpacing"/>
              <w:jc w:val="both"/>
              <w:rPr>
                <w:sz w:val="20"/>
                <w:szCs w:val="20"/>
              </w:rPr>
            </w:pPr>
            <w:r w:rsidRPr="00F918D1">
              <w:rPr>
                <w:sz w:val="20"/>
                <w:szCs w:val="20"/>
              </w:rPr>
              <w:t>881</w:t>
            </w:r>
          </w:p>
        </w:tc>
        <w:tc>
          <w:tcPr>
            <w:tcW w:w="1508" w:type="dxa"/>
          </w:tcPr>
          <w:p w:rsidR="001F165B" w:rsidRPr="00F918D1" w:rsidRDefault="00325DBD" w:rsidP="003C0468">
            <w:pPr>
              <w:pStyle w:val="NoSpacing"/>
              <w:jc w:val="both"/>
              <w:rPr>
                <w:sz w:val="20"/>
                <w:szCs w:val="20"/>
              </w:rPr>
            </w:pPr>
            <w:r w:rsidRPr="00F918D1">
              <w:rPr>
                <w:sz w:val="20"/>
                <w:szCs w:val="20"/>
              </w:rPr>
              <w:t>n/a</w:t>
            </w:r>
          </w:p>
        </w:tc>
      </w:tr>
      <w:tr w:rsidR="00A95ED3" w:rsidTr="003C0468">
        <w:tc>
          <w:tcPr>
            <w:tcW w:w="6232" w:type="dxa"/>
          </w:tcPr>
          <w:p w:rsidR="001F165B" w:rsidRPr="00F918D1" w:rsidRDefault="00325DBD" w:rsidP="003C0468">
            <w:pPr>
              <w:pStyle w:val="NoSpacing"/>
              <w:jc w:val="both"/>
              <w:rPr>
                <w:sz w:val="20"/>
                <w:szCs w:val="20"/>
              </w:rPr>
            </w:pPr>
            <w:r w:rsidRPr="00F918D1">
              <w:rPr>
                <w:sz w:val="20"/>
                <w:szCs w:val="20"/>
              </w:rPr>
              <w:t>Investment in leadership skills</w:t>
            </w:r>
          </w:p>
        </w:tc>
        <w:tc>
          <w:tcPr>
            <w:tcW w:w="1276" w:type="dxa"/>
          </w:tcPr>
          <w:p w:rsidR="001F165B" w:rsidRPr="00F918D1" w:rsidRDefault="00325DBD" w:rsidP="003C0468">
            <w:pPr>
              <w:pStyle w:val="NoSpacing"/>
              <w:jc w:val="both"/>
              <w:rPr>
                <w:sz w:val="20"/>
                <w:szCs w:val="20"/>
              </w:rPr>
            </w:pPr>
            <w:r>
              <w:rPr>
                <w:sz w:val="20"/>
                <w:szCs w:val="20"/>
              </w:rPr>
              <w:t>209</w:t>
            </w:r>
          </w:p>
        </w:tc>
        <w:tc>
          <w:tcPr>
            <w:tcW w:w="1508" w:type="dxa"/>
          </w:tcPr>
          <w:p w:rsidR="001F165B" w:rsidRPr="00F918D1" w:rsidRDefault="00325DBD" w:rsidP="003C0468">
            <w:pPr>
              <w:pStyle w:val="NoSpacing"/>
              <w:jc w:val="both"/>
              <w:rPr>
                <w:sz w:val="20"/>
                <w:szCs w:val="20"/>
              </w:rPr>
            </w:pPr>
            <w:r w:rsidRPr="00F918D1">
              <w:rPr>
                <w:sz w:val="20"/>
                <w:szCs w:val="20"/>
              </w:rPr>
              <w:t>£1,281,066</w:t>
            </w:r>
            <w:r w:rsidRPr="00F918D1">
              <w:rPr>
                <w:sz w:val="20"/>
                <w:szCs w:val="20"/>
              </w:rPr>
              <w:tab/>
            </w:r>
          </w:p>
        </w:tc>
      </w:tr>
    </w:tbl>
    <w:p w:rsidR="001F165B" w:rsidRDefault="00E906FA" w:rsidP="001F165B">
      <w:pPr>
        <w:ind w:left="0" w:firstLine="0"/>
      </w:pPr>
    </w:p>
    <w:p w:rsidR="001F165B" w:rsidRPr="003E477D" w:rsidRDefault="00325DBD" w:rsidP="001F165B">
      <w:pPr>
        <w:ind w:left="0" w:firstLine="0"/>
        <w:rPr>
          <w:b/>
        </w:rPr>
      </w:pPr>
      <w:r w:rsidRPr="003E477D">
        <w:rPr>
          <w:b/>
        </w:rPr>
        <w:t>Community Benefits</w:t>
      </w:r>
    </w:p>
    <w:tbl>
      <w:tblPr>
        <w:tblStyle w:val="TableGrid"/>
        <w:tblW w:w="0" w:type="auto"/>
        <w:tblLook w:val="04A0" w:firstRow="1" w:lastRow="0" w:firstColumn="1" w:lastColumn="0" w:noHBand="0" w:noVBand="1"/>
      </w:tblPr>
      <w:tblGrid>
        <w:gridCol w:w="6232"/>
        <w:gridCol w:w="1276"/>
        <w:gridCol w:w="1508"/>
      </w:tblGrid>
      <w:tr w:rsidR="00A95ED3" w:rsidTr="003C0468">
        <w:tc>
          <w:tcPr>
            <w:tcW w:w="6232" w:type="dxa"/>
          </w:tcPr>
          <w:p w:rsidR="001F165B" w:rsidRPr="00E926FD" w:rsidRDefault="00325DBD" w:rsidP="003C0468">
            <w:pPr>
              <w:pStyle w:val="NoSpacing"/>
              <w:jc w:val="both"/>
              <w:rPr>
                <w:b/>
                <w:sz w:val="20"/>
                <w:szCs w:val="20"/>
              </w:rPr>
            </w:pPr>
            <w:r w:rsidRPr="00E926FD">
              <w:rPr>
                <w:b/>
                <w:sz w:val="20"/>
                <w:szCs w:val="20"/>
              </w:rPr>
              <w:t>Metric</w:t>
            </w:r>
          </w:p>
        </w:tc>
        <w:tc>
          <w:tcPr>
            <w:tcW w:w="1276" w:type="dxa"/>
          </w:tcPr>
          <w:p w:rsidR="001F165B" w:rsidRPr="00E926FD" w:rsidRDefault="00325DBD" w:rsidP="003C0468">
            <w:pPr>
              <w:pStyle w:val="NoSpacing"/>
              <w:jc w:val="both"/>
              <w:rPr>
                <w:b/>
                <w:sz w:val="20"/>
                <w:szCs w:val="20"/>
              </w:rPr>
            </w:pPr>
            <w:r w:rsidRPr="00E926FD">
              <w:rPr>
                <w:b/>
                <w:sz w:val="20"/>
                <w:szCs w:val="20"/>
              </w:rPr>
              <w:t>To date</w:t>
            </w:r>
          </w:p>
        </w:tc>
        <w:tc>
          <w:tcPr>
            <w:tcW w:w="1508" w:type="dxa"/>
          </w:tcPr>
          <w:p w:rsidR="001F165B" w:rsidRPr="00E926FD" w:rsidRDefault="00325DBD" w:rsidP="003C0468">
            <w:pPr>
              <w:pStyle w:val="NoSpacing"/>
              <w:jc w:val="both"/>
              <w:rPr>
                <w:b/>
                <w:sz w:val="20"/>
                <w:szCs w:val="20"/>
              </w:rPr>
            </w:pPr>
            <w:r w:rsidRPr="00E926FD">
              <w:rPr>
                <w:b/>
                <w:sz w:val="20"/>
                <w:szCs w:val="20"/>
              </w:rPr>
              <w:t>Indicative Social Value</w:t>
            </w:r>
          </w:p>
        </w:tc>
      </w:tr>
      <w:tr w:rsidR="00A95ED3" w:rsidTr="003C0468">
        <w:tc>
          <w:tcPr>
            <w:tcW w:w="6232" w:type="dxa"/>
          </w:tcPr>
          <w:p w:rsidR="001F165B" w:rsidRPr="005F4B46" w:rsidRDefault="00325DBD" w:rsidP="003C0468">
            <w:pPr>
              <w:pStyle w:val="NoSpacing"/>
              <w:jc w:val="both"/>
              <w:rPr>
                <w:sz w:val="20"/>
                <w:szCs w:val="20"/>
              </w:rPr>
            </w:pPr>
            <w:r w:rsidRPr="00D550BB">
              <w:rPr>
                <w:sz w:val="20"/>
                <w:szCs w:val="20"/>
              </w:rPr>
              <w:t>Community based projects driven by the local communities in which the project is based.</w:t>
            </w:r>
          </w:p>
        </w:tc>
        <w:tc>
          <w:tcPr>
            <w:tcW w:w="1276" w:type="dxa"/>
          </w:tcPr>
          <w:p w:rsidR="001F165B" w:rsidRPr="005F4B46" w:rsidRDefault="00325DBD" w:rsidP="003C0468">
            <w:pPr>
              <w:pStyle w:val="NoSpacing"/>
              <w:jc w:val="both"/>
              <w:rPr>
                <w:sz w:val="20"/>
                <w:szCs w:val="20"/>
              </w:rPr>
            </w:pPr>
            <w:r>
              <w:rPr>
                <w:sz w:val="20"/>
                <w:szCs w:val="20"/>
              </w:rPr>
              <w:t>64</w:t>
            </w:r>
          </w:p>
        </w:tc>
        <w:tc>
          <w:tcPr>
            <w:tcW w:w="1508" w:type="dxa"/>
          </w:tcPr>
          <w:p w:rsidR="001F165B" w:rsidRPr="005F4B46" w:rsidRDefault="00325DBD" w:rsidP="003C0468">
            <w:pPr>
              <w:pStyle w:val="NoSpacing"/>
              <w:jc w:val="both"/>
              <w:rPr>
                <w:sz w:val="20"/>
                <w:szCs w:val="20"/>
              </w:rPr>
            </w:pPr>
            <w:r w:rsidRPr="00031470">
              <w:rPr>
                <w:sz w:val="20"/>
                <w:szCs w:val="20"/>
              </w:rPr>
              <w:t>£6,465</w:t>
            </w:r>
            <w:r w:rsidRPr="00031470">
              <w:rPr>
                <w:sz w:val="20"/>
                <w:szCs w:val="20"/>
              </w:rPr>
              <w:tab/>
            </w:r>
          </w:p>
        </w:tc>
      </w:tr>
      <w:tr w:rsidR="00A95ED3" w:rsidTr="003C0468">
        <w:tc>
          <w:tcPr>
            <w:tcW w:w="6232" w:type="dxa"/>
          </w:tcPr>
          <w:p w:rsidR="001F165B" w:rsidRPr="005F4B46" w:rsidRDefault="00325DBD" w:rsidP="003C0468">
            <w:pPr>
              <w:pStyle w:val="NoSpacing"/>
              <w:jc w:val="both"/>
              <w:rPr>
                <w:sz w:val="20"/>
                <w:szCs w:val="20"/>
              </w:rPr>
            </w:pPr>
            <w:r w:rsidRPr="00D550BB">
              <w:rPr>
                <w:sz w:val="20"/>
                <w:szCs w:val="20"/>
              </w:rPr>
              <w:t>Procurement and commissioning of local SMEs and social enterprises / third sector organisations</w:t>
            </w:r>
          </w:p>
        </w:tc>
        <w:tc>
          <w:tcPr>
            <w:tcW w:w="1276" w:type="dxa"/>
          </w:tcPr>
          <w:p w:rsidR="001F165B" w:rsidRPr="005F4B46" w:rsidRDefault="00325DBD" w:rsidP="003C0468">
            <w:pPr>
              <w:pStyle w:val="NoSpacing"/>
              <w:jc w:val="both"/>
              <w:rPr>
                <w:sz w:val="20"/>
                <w:szCs w:val="20"/>
              </w:rPr>
            </w:pPr>
            <w:r>
              <w:rPr>
                <w:sz w:val="20"/>
                <w:szCs w:val="20"/>
              </w:rPr>
              <w:t>116</w:t>
            </w:r>
          </w:p>
        </w:tc>
        <w:tc>
          <w:tcPr>
            <w:tcW w:w="1508" w:type="dxa"/>
          </w:tcPr>
          <w:p w:rsidR="001F165B" w:rsidRPr="005F4B46" w:rsidRDefault="00325DBD" w:rsidP="003C0468">
            <w:pPr>
              <w:pStyle w:val="NoSpacing"/>
              <w:jc w:val="both"/>
              <w:rPr>
                <w:sz w:val="20"/>
                <w:szCs w:val="20"/>
              </w:rPr>
            </w:pPr>
            <w:r>
              <w:rPr>
                <w:sz w:val="20"/>
                <w:szCs w:val="20"/>
              </w:rPr>
              <w:t>n/a</w:t>
            </w:r>
          </w:p>
        </w:tc>
      </w:tr>
    </w:tbl>
    <w:p w:rsidR="001F165B" w:rsidRDefault="00E906FA" w:rsidP="001F165B">
      <w:pPr>
        <w:pStyle w:val="NoSpacing"/>
        <w:jc w:val="both"/>
        <w:rPr>
          <w:b/>
        </w:rPr>
      </w:pPr>
    </w:p>
    <w:p w:rsidR="001F165B" w:rsidRDefault="00325DBD" w:rsidP="001F165B">
      <w:pPr>
        <w:pStyle w:val="NoSpacing"/>
        <w:jc w:val="both"/>
      </w:pPr>
      <w:r w:rsidRPr="001A1CD3">
        <w:t xml:space="preserve">In conclusion, </w:t>
      </w:r>
      <w:r>
        <w:t>Lancashire's</w:t>
      </w:r>
      <w:r w:rsidRPr="001A1CD3">
        <w:t xml:space="preserve"> Growth Deal programme is delivering in line with profile across the suite of social value metrics. Using the National T</w:t>
      </w:r>
      <w:r>
        <w:t xml:space="preserve">hemes Outcomes and </w:t>
      </w:r>
      <w:r>
        <w:lastRenderedPageBreak/>
        <w:t>Measures</w:t>
      </w:r>
      <w:r w:rsidRPr="001A1CD3">
        <w:t xml:space="preserve"> methodology, the total Social Value generated through the delivery of the project currently stands at £5,510,861. </w:t>
      </w:r>
    </w:p>
    <w:p w:rsidR="001F165B" w:rsidRDefault="00E906FA" w:rsidP="001F165B">
      <w:pPr>
        <w:pStyle w:val="NoSpacing"/>
        <w:jc w:val="both"/>
      </w:pPr>
    </w:p>
    <w:p w:rsidR="001F165B" w:rsidRDefault="00325DBD" w:rsidP="001F165B">
      <w:pPr>
        <w:pStyle w:val="NoSpacing"/>
        <w:jc w:val="both"/>
      </w:pPr>
      <w:r w:rsidRPr="001A1CD3">
        <w:t>Unfortunately</w:t>
      </w:r>
      <w:r>
        <w:t>,</w:t>
      </w:r>
      <w:r w:rsidRPr="001A1CD3">
        <w:t xml:space="preserve"> this figure does not include the data for local supply chain and SME spend which would have generated a significantly higher figure. </w:t>
      </w:r>
      <w:r>
        <w:t>The aim of future reports is be able to include data on procurement with local suppliers and SMEs to demonstrate the local economic benefits of the Growth Deal investment.</w:t>
      </w:r>
    </w:p>
    <w:p w:rsidR="001F165B" w:rsidRDefault="00E906FA" w:rsidP="001F165B">
      <w:pPr>
        <w:pStyle w:val="NoSpacing"/>
        <w:jc w:val="both"/>
      </w:pPr>
    </w:p>
    <w:p w:rsidR="001F165B" w:rsidRDefault="00325DBD" w:rsidP="001F165B">
      <w:pPr>
        <w:pStyle w:val="NoSpacing"/>
        <w:jc w:val="both"/>
      </w:pPr>
      <w:r>
        <w:t>The adoption of the Themes Outcomes and Measures as a robust monitoring and performance management framework will complement the work already undertaken on Lancashire's Social Value Toolkit and will provide valuable tools t</w:t>
      </w:r>
      <w:r w:rsidRPr="007071A9">
        <w:t xml:space="preserve">o </w:t>
      </w:r>
      <w:r>
        <w:t>d</w:t>
      </w:r>
      <w:r w:rsidRPr="007071A9">
        <w:t>emonstrate Lancashire's Growth Deal social value impact.</w:t>
      </w:r>
      <w:r>
        <w:t xml:space="preserve"> </w:t>
      </w:r>
    </w:p>
    <w:p w:rsidR="001F165B" w:rsidRDefault="00E906FA" w:rsidP="001F165B">
      <w:pPr>
        <w:pStyle w:val="NoSpacing"/>
        <w:jc w:val="both"/>
      </w:pPr>
    </w:p>
    <w:p w:rsidR="001F165B" w:rsidRPr="00E74814" w:rsidRDefault="00325DBD" w:rsidP="00325DBD">
      <w:pPr>
        <w:pStyle w:val="NoSpacing"/>
        <w:jc w:val="both"/>
        <w:rPr>
          <w:b/>
        </w:rPr>
      </w:pPr>
      <w:r w:rsidRPr="00E74814">
        <w:rPr>
          <w:b/>
        </w:rPr>
        <w:t>Recommendation</w:t>
      </w:r>
    </w:p>
    <w:p w:rsidR="001F165B" w:rsidRDefault="00E906FA" w:rsidP="001F165B">
      <w:pPr>
        <w:pStyle w:val="NoSpacing"/>
        <w:ind w:left="624"/>
        <w:jc w:val="both"/>
      </w:pPr>
    </w:p>
    <w:p w:rsidR="00325DBD" w:rsidRDefault="00325DBD" w:rsidP="001F165B">
      <w:pPr>
        <w:pStyle w:val="NoSpacing"/>
        <w:ind w:left="624" w:hanging="624"/>
        <w:jc w:val="both"/>
      </w:pPr>
      <w:r>
        <w:t>It is requested that the Growth Deal Management Board reviews and approves the</w:t>
      </w:r>
    </w:p>
    <w:p w:rsidR="00325DBD" w:rsidRDefault="00325DBD" w:rsidP="001F165B">
      <w:pPr>
        <w:pStyle w:val="NoSpacing"/>
        <w:ind w:left="624" w:hanging="624"/>
        <w:jc w:val="both"/>
      </w:pPr>
      <w:r>
        <w:t>adoption of the National Themes Outcomes and Measures for future reporting of social</w:t>
      </w:r>
    </w:p>
    <w:p w:rsidR="001F165B" w:rsidRPr="001A1CD3" w:rsidRDefault="00325DBD" w:rsidP="001F165B">
      <w:pPr>
        <w:pStyle w:val="NoSpacing"/>
        <w:ind w:left="624" w:hanging="624"/>
        <w:jc w:val="both"/>
      </w:pPr>
      <w:r>
        <w:t xml:space="preserve">value.  </w:t>
      </w:r>
    </w:p>
    <w:p w:rsidR="00386D34" w:rsidRDefault="00E906FA"/>
    <w:p w:rsidR="00B959D4" w:rsidRPr="00ED571D" w:rsidRDefault="00325DBD" w:rsidP="00B959D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B959D4" w:rsidRPr="00ED571D" w:rsidRDefault="00E906FA" w:rsidP="00B959D4"/>
    <w:tbl>
      <w:tblPr>
        <w:tblW w:w="0" w:type="auto"/>
        <w:tblLayout w:type="fixed"/>
        <w:tblLook w:val="0000" w:firstRow="0" w:lastRow="0" w:firstColumn="0" w:lastColumn="0" w:noHBand="0" w:noVBand="0"/>
      </w:tblPr>
      <w:tblGrid>
        <w:gridCol w:w="3510"/>
        <w:gridCol w:w="2492"/>
        <w:gridCol w:w="3178"/>
      </w:tblGrid>
      <w:tr w:rsidR="00A95ED3" w:rsidTr="00331DDF">
        <w:tc>
          <w:tcPr>
            <w:tcW w:w="3510" w:type="dxa"/>
          </w:tcPr>
          <w:p w:rsidR="00B959D4" w:rsidRPr="00ED571D" w:rsidRDefault="00325DBD"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B959D4" w:rsidRPr="00ED571D" w:rsidRDefault="00325DBD"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B959D4" w:rsidRPr="00ED571D" w:rsidRDefault="00325DBD"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A95ED3" w:rsidTr="00331DDF">
        <w:tc>
          <w:tcPr>
            <w:tcW w:w="3510" w:type="dxa"/>
          </w:tcPr>
          <w:p w:rsidR="00B959D4" w:rsidRPr="00ED571D" w:rsidRDefault="00E906FA" w:rsidP="00331DDF">
            <w:pPr>
              <w:rPr>
                <w:color w:val="auto"/>
              </w:rPr>
            </w:pPr>
          </w:p>
          <w:p w:rsidR="00B959D4" w:rsidRPr="00ED571D" w:rsidRDefault="00325DBD" w:rsidP="00331DDF">
            <w:pPr>
              <w:rPr>
                <w:color w:val="auto"/>
              </w:rPr>
            </w:pPr>
            <w:r>
              <w:rPr>
                <w:color w:val="auto"/>
              </w:rPr>
              <w:t>None</w:t>
            </w:r>
          </w:p>
          <w:p w:rsidR="00B959D4" w:rsidRPr="00ED571D" w:rsidRDefault="00E906FA" w:rsidP="00331DDF">
            <w:pPr>
              <w:rPr>
                <w:color w:val="auto"/>
              </w:rPr>
            </w:pPr>
          </w:p>
        </w:tc>
        <w:tc>
          <w:tcPr>
            <w:tcW w:w="2492" w:type="dxa"/>
          </w:tcPr>
          <w:p w:rsidR="00B959D4" w:rsidRPr="00ED571D" w:rsidRDefault="00E906FA" w:rsidP="00331DDF">
            <w:pPr>
              <w:rPr>
                <w:color w:val="auto"/>
              </w:rPr>
            </w:pPr>
          </w:p>
        </w:tc>
        <w:tc>
          <w:tcPr>
            <w:tcW w:w="3178" w:type="dxa"/>
          </w:tcPr>
          <w:p w:rsidR="00B959D4" w:rsidRPr="00ED571D" w:rsidRDefault="00E906FA" w:rsidP="00331DDF">
            <w:pPr>
              <w:rPr>
                <w:color w:val="auto"/>
              </w:rPr>
            </w:pPr>
          </w:p>
        </w:tc>
      </w:tr>
      <w:tr w:rsidR="00A95ED3" w:rsidTr="00331DDF">
        <w:trPr>
          <w:cantSplit/>
        </w:trPr>
        <w:tc>
          <w:tcPr>
            <w:tcW w:w="9180" w:type="dxa"/>
            <w:gridSpan w:val="3"/>
          </w:tcPr>
          <w:p w:rsidR="00B959D4" w:rsidRPr="00ED571D" w:rsidRDefault="00E906FA" w:rsidP="00331DDF"/>
          <w:p w:rsidR="00B959D4" w:rsidRPr="00ED571D" w:rsidRDefault="00325DBD" w:rsidP="00331DDF">
            <w:r w:rsidRPr="00ED571D">
              <w:t xml:space="preserve">Reason for inclusion in Part II, if appropriate </w:t>
            </w:r>
          </w:p>
          <w:p w:rsidR="00B959D4" w:rsidRPr="00ED571D" w:rsidRDefault="00E906FA" w:rsidP="00331DDF"/>
          <w:p w:rsidR="00B959D4" w:rsidRPr="00ED571D" w:rsidRDefault="00325DBD" w:rsidP="00331DDF">
            <w:pPr>
              <w:rPr>
                <w:color w:val="auto"/>
              </w:rPr>
            </w:pPr>
            <w:r>
              <w:rPr>
                <w:color w:val="auto"/>
              </w:rPr>
              <w:t>N/A</w:t>
            </w:r>
          </w:p>
          <w:p w:rsidR="00B959D4" w:rsidRPr="00ED571D" w:rsidRDefault="00E906FA" w:rsidP="00331DDF">
            <w:pPr>
              <w:jc w:val="both"/>
            </w:pPr>
          </w:p>
        </w:tc>
      </w:tr>
    </w:tbl>
    <w:p w:rsidR="00B959D4" w:rsidRDefault="00E906FA"/>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AC" w:rsidRDefault="00325DBD">
      <w:pPr>
        <w:spacing w:after="0" w:line="240" w:lineRule="auto"/>
      </w:pPr>
      <w:r>
        <w:separator/>
      </w:r>
    </w:p>
  </w:endnote>
  <w:endnote w:type="continuationSeparator" w:id="0">
    <w:p w:rsidR="00DB0CAC" w:rsidRDefault="0032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AC" w:rsidRDefault="00325DBD">
      <w:pPr>
        <w:spacing w:after="0" w:line="240" w:lineRule="auto"/>
      </w:pPr>
      <w:r>
        <w:separator/>
      </w:r>
    </w:p>
  </w:footnote>
  <w:footnote w:type="continuationSeparator" w:id="0">
    <w:p w:rsidR="00DB0CAC" w:rsidRDefault="00325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325DB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83386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96A45D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1805D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CA67A8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65042A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786CB4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338F36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49E3B4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24ED56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A8A8A38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4C9417A6"/>
    <w:multiLevelType w:val="hybridMultilevel"/>
    <w:tmpl w:val="71A0660C"/>
    <w:lvl w:ilvl="0" w:tplc="D202374E">
      <w:start w:val="1"/>
      <w:numFmt w:val="decimal"/>
      <w:lvlText w:val="%1"/>
      <w:lvlJc w:val="left"/>
      <w:pPr>
        <w:ind w:left="984" w:hanging="360"/>
      </w:pPr>
      <w:rPr>
        <w:rFonts w:hint="default"/>
      </w:rPr>
    </w:lvl>
    <w:lvl w:ilvl="1" w:tplc="2D544768" w:tentative="1">
      <w:start w:val="1"/>
      <w:numFmt w:val="lowerLetter"/>
      <w:lvlText w:val="%2."/>
      <w:lvlJc w:val="left"/>
      <w:pPr>
        <w:ind w:left="1704" w:hanging="360"/>
      </w:pPr>
    </w:lvl>
    <w:lvl w:ilvl="2" w:tplc="D30AB928" w:tentative="1">
      <w:start w:val="1"/>
      <w:numFmt w:val="lowerRoman"/>
      <w:lvlText w:val="%3."/>
      <w:lvlJc w:val="right"/>
      <w:pPr>
        <w:ind w:left="2424" w:hanging="180"/>
      </w:pPr>
    </w:lvl>
    <w:lvl w:ilvl="3" w:tplc="D2B62DBE" w:tentative="1">
      <w:start w:val="1"/>
      <w:numFmt w:val="decimal"/>
      <w:lvlText w:val="%4."/>
      <w:lvlJc w:val="left"/>
      <w:pPr>
        <w:ind w:left="3144" w:hanging="360"/>
      </w:pPr>
    </w:lvl>
    <w:lvl w:ilvl="4" w:tplc="2694893A" w:tentative="1">
      <w:start w:val="1"/>
      <w:numFmt w:val="lowerLetter"/>
      <w:lvlText w:val="%5."/>
      <w:lvlJc w:val="left"/>
      <w:pPr>
        <w:ind w:left="3864" w:hanging="360"/>
      </w:pPr>
    </w:lvl>
    <w:lvl w:ilvl="5" w:tplc="099AB9BA" w:tentative="1">
      <w:start w:val="1"/>
      <w:numFmt w:val="lowerRoman"/>
      <w:lvlText w:val="%6."/>
      <w:lvlJc w:val="right"/>
      <w:pPr>
        <w:ind w:left="4584" w:hanging="180"/>
      </w:pPr>
    </w:lvl>
    <w:lvl w:ilvl="6" w:tplc="CEFAEE40" w:tentative="1">
      <w:start w:val="1"/>
      <w:numFmt w:val="decimal"/>
      <w:lvlText w:val="%7."/>
      <w:lvlJc w:val="left"/>
      <w:pPr>
        <w:ind w:left="5304" w:hanging="360"/>
      </w:pPr>
    </w:lvl>
    <w:lvl w:ilvl="7" w:tplc="B3F2CC4A" w:tentative="1">
      <w:start w:val="1"/>
      <w:numFmt w:val="lowerLetter"/>
      <w:lvlText w:val="%8."/>
      <w:lvlJc w:val="left"/>
      <w:pPr>
        <w:ind w:left="6024" w:hanging="360"/>
      </w:pPr>
    </w:lvl>
    <w:lvl w:ilvl="8" w:tplc="E5AA34BA" w:tentative="1">
      <w:start w:val="1"/>
      <w:numFmt w:val="lowerRoman"/>
      <w:lvlText w:val="%9."/>
      <w:lvlJc w:val="right"/>
      <w:pPr>
        <w:ind w:left="6744" w:hanging="180"/>
      </w:pPr>
    </w:lvl>
  </w:abstractNum>
  <w:abstractNum w:abstractNumId="4" w15:restartNumberingAfterBreak="0">
    <w:nsid w:val="5B0C2086"/>
    <w:multiLevelType w:val="multilevel"/>
    <w:tmpl w:val="1A2EDF8A"/>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015A9D"/>
    <w:multiLevelType w:val="hybridMultilevel"/>
    <w:tmpl w:val="0F9C224A"/>
    <w:lvl w:ilvl="0" w:tplc="7AAC9C40">
      <w:start w:val="1"/>
      <w:numFmt w:val="bullet"/>
      <w:lvlText w:val=""/>
      <w:lvlJc w:val="left"/>
      <w:pPr>
        <w:ind w:left="720" w:hanging="360"/>
      </w:pPr>
      <w:rPr>
        <w:rFonts w:ascii="Symbol" w:hAnsi="Symbol" w:hint="default"/>
      </w:rPr>
    </w:lvl>
    <w:lvl w:ilvl="1" w:tplc="F37A2504" w:tentative="1">
      <w:start w:val="1"/>
      <w:numFmt w:val="bullet"/>
      <w:lvlText w:val="o"/>
      <w:lvlJc w:val="left"/>
      <w:pPr>
        <w:ind w:left="1440" w:hanging="360"/>
      </w:pPr>
      <w:rPr>
        <w:rFonts w:ascii="Courier New" w:hAnsi="Courier New" w:cs="Courier New" w:hint="default"/>
      </w:rPr>
    </w:lvl>
    <w:lvl w:ilvl="2" w:tplc="801E8D92">
      <w:start w:val="1"/>
      <w:numFmt w:val="bullet"/>
      <w:lvlText w:val=""/>
      <w:lvlJc w:val="left"/>
      <w:pPr>
        <w:ind w:left="2160" w:hanging="360"/>
      </w:pPr>
      <w:rPr>
        <w:rFonts w:ascii="Wingdings" w:hAnsi="Wingdings" w:hint="default"/>
      </w:rPr>
    </w:lvl>
    <w:lvl w:ilvl="3" w:tplc="83BA0A26" w:tentative="1">
      <w:start w:val="1"/>
      <w:numFmt w:val="bullet"/>
      <w:lvlText w:val=""/>
      <w:lvlJc w:val="left"/>
      <w:pPr>
        <w:ind w:left="2880" w:hanging="360"/>
      </w:pPr>
      <w:rPr>
        <w:rFonts w:ascii="Symbol" w:hAnsi="Symbol" w:hint="default"/>
      </w:rPr>
    </w:lvl>
    <w:lvl w:ilvl="4" w:tplc="9E14D4E8" w:tentative="1">
      <w:start w:val="1"/>
      <w:numFmt w:val="bullet"/>
      <w:lvlText w:val="o"/>
      <w:lvlJc w:val="left"/>
      <w:pPr>
        <w:ind w:left="3600" w:hanging="360"/>
      </w:pPr>
      <w:rPr>
        <w:rFonts w:ascii="Courier New" w:hAnsi="Courier New" w:cs="Courier New" w:hint="default"/>
      </w:rPr>
    </w:lvl>
    <w:lvl w:ilvl="5" w:tplc="4ED23BD8" w:tentative="1">
      <w:start w:val="1"/>
      <w:numFmt w:val="bullet"/>
      <w:lvlText w:val=""/>
      <w:lvlJc w:val="left"/>
      <w:pPr>
        <w:ind w:left="4320" w:hanging="360"/>
      </w:pPr>
      <w:rPr>
        <w:rFonts w:ascii="Wingdings" w:hAnsi="Wingdings" w:hint="default"/>
      </w:rPr>
    </w:lvl>
    <w:lvl w:ilvl="6" w:tplc="2B48B0E2" w:tentative="1">
      <w:start w:val="1"/>
      <w:numFmt w:val="bullet"/>
      <w:lvlText w:val=""/>
      <w:lvlJc w:val="left"/>
      <w:pPr>
        <w:ind w:left="5040" w:hanging="360"/>
      </w:pPr>
      <w:rPr>
        <w:rFonts w:ascii="Symbol" w:hAnsi="Symbol" w:hint="default"/>
      </w:rPr>
    </w:lvl>
    <w:lvl w:ilvl="7" w:tplc="3C5E5BAE" w:tentative="1">
      <w:start w:val="1"/>
      <w:numFmt w:val="bullet"/>
      <w:lvlText w:val="o"/>
      <w:lvlJc w:val="left"/>
      <w:pPr>
        <w:ind w:left="5760" w:hanging="360"/>
      </w:pPr>
      <w:rPr>
        <w:rFonts w:ascii="Courier New" w:hAnsi="Courier New" w:cs="Courier New" w:hint="default"/>
      </w:rPr>
    </w:lvl>
    <w:lvl w:ilvl="8" w:tplc="7832958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3"/>
    <w:rsid w:val="00325DBD"/>
    <w:rsid w:val="008C51C0"/>
    <w:rsid w:val="00A95ED3"/>
    <w:rsid w:val="00DB0CAC"/>
    <w:rsid w:val="00E9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E229E-CD10-4172-9DF9-9A400761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F165B"/>
    <w:rPr>
      <w:color w:val="0563C1" w:themeColor="hyperlink"/>
      <w:u w:val="single"/>
    </w:rPr>
  </w:style>
  <w:style w:type="table" w:styleId="TableGrid">
    <w:name w:val="Table Grid"/>
    <w:basedOn w:val="TableNormal"/>
    <w:uiPriority w:val="39"/>
    <w:rsid w:val="001F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C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90D8-935C-48AA-8C8A-EF6585EA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Mansfield, Joanne</cp:lastModifiedBy>
  <cp:revision>11</cp:revision>
  <dcterms:created xsi:type="dcterms:W3CDTF">2015-06-25T10:41:00Z</dcterms:created>
  <dcterms:modified xsi:type="dcterms:W3CDTF">2018-11-28T14:54:00Z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Growth Deal Management Board</vt:lpwstr>
  </property>
  <property fmtid="{D5CDD505-2E9C-101B-9397-08002B2CF9AE}" pid="3" name="IssueTitle">
    <vt:lpwstr>Growth Deal Social Value Report</vt:lpwstr>
  </property>
  <property fmtid="{D5CDD505-2E9C-101B-9397-08002B2CF9AE}" pid="4" name="LeadOfficer">
    <vt:lpwstr>Anne-Marie Parkinson</vt:lpwstr>
  </property>
  <property fmtid="{D5CDD505-2E9C-101B-9397-08002B2CF9AE}" pid="5" name="LeadOfficerEmail">
    <vt:lpwstr>anne-marie.parkinson@lancashire.gov.uk</vt:lpwstr>
  </property>
  <property fmtid="{D5CDD505-2E9C-101B-9397-08002B2CF9AE}" pid="6" name="LeadOfficerTel">
    <vt:lpwstr/>
  </property>
  <property fmtid="{D5CDD505-2E9C-101B-9397-08002B2CF9AE}" pid="7" name="MeetingDate">
    <vt:lpwstr>Wednesday, 12 December 2018</vt:lpwstr>
  </property>
</Properties>
</file>